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6C" w:rsidRPr="00E85841" w:rsidRDefault="000E1E6C" w:rsidP="002F66C1">
      <w:pPr>
        <w:spacing w:before="100" w:beforeAutospacing="1" w:after="100" w:afterAutospacing="1"/>
        <w:jc w:val="center"/>
        <w:rPr>
          <w:rFonts w:ascii="Arial" w:hAnsi="Arial" w:cs="Arial"/>
          <w:b/>
          <w:bCs/>
          <w:sz w:val="22"/>
          <w:szCs w:val="22"/>
        </w:rPr>
      </w:pPr>
      <w:r w:rsidRPr="00E85841">
        <w:rPr>
          <w:rFonts w:ascii="Arial" w:hAnsi="Arial" w:cs="Arial"/>
          <w:b/>
          <w:bCs/>
          <w:sz w:val="22"/>
          <w:szCs w:val="22"/>
        </w:rPr>
        <w:t>Formato para la Difusión de los Resultados de las Evaluaciones del Consejo Nacional de Armonización Contable.</w:t>
      </w:r>
    </w:p>
    <w:tbl>
      <w:tblPr>
        <w:tblW w:w="4994" w:type="pct"/>
        <w:tblInd w:w="5" w:type="dxa"/>
        <w:tblCellMar>
          <w:left w:w="70" w:type="dxa"/>
          <w:right w:w="70" w:type="dxa"/>
        </w:tblCellMar>
        <w:tblLook w:val="04A0" w:firstRow="1" w:lastRow="0" w:firstColumn="1" w:lastColumn="0" w:noHBand="0" w:noVBand="1"/>
      </w:tblPr>
      <w:tblGrid>
        <w:gridCol w:w="3212"/>
        <w:gridCol w:w="5611"/>
      </w:tblGrid>
      <w:tr w:rsidR="000E1E6C" w:rsidRPr="00E85841" w:rsidTr="000041B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t>DESCRIPCIÓN DE LA EVALUACIÓN</w:t>
            </w:r>
          </w:p>
        </w:tc>
      </w:tr>
      <w:tr w:rsidR="000E1E6C" w:rsidRPr="00E85841" w:rsidTr="000041B2">
        <w:trPr>
          <w:trHeight w:val="300"/>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rsidP="00AB0634">
            <w:pPr>
              <w:pStyle w:val="Prrafodelista"/>
              <w:numPr>
                <w:ilvl w:val="1"/>
                <w:numId w:val="2"/>
              </w:numPr>
              <w:spacing w:line="247" w:lineRule="auto"/>
              <w:jc w:val="both"/>
              <w:rPr>
                <w:rFonts w:ascii="Arial" w:hAnsi="Arial" w:cs="Arial"/>
                <w:b/>
                <w:bCs/>
                <w:sz w:val="22"/>
                <w:szCs w:val="22"/>
              </w:rPr>
            </w:pPr>
            <w:r w:rsidRPr="00E85841">
              <w:rPr>
                <w:rFonts w:ascii="Arial" w:hAnsi="Arial" w:cs="Arial"/>
                <w:b/>
                <w:bCs/>
                <w:sz w:val="22"/>
                <w:szCs w:val="22"/>
              </w:rPr>
              <w:t>Nombre de la evaluación:</w:t>
            </w:r>
          </w:p>
          <w:p w:rsidR="000E1E6C" w:rsidRPr="00E85841" w:rsidRDefault="000E1E6C" w:rsidP="006222EF">
            <w:pPr>
              <w:spacing w:line="247" w:lineRule="auto"/>
              <w:jc w:val="both"/>
              <w:rPr>
                <w:rFonts w:ascii="Arial" w:hAnsi="Arial" w:cs="Arial"/>
                <w:sz w:val="22"/>
                <w:szCs w:val="22"/>
              </w:rPr>
            </w:pPr>
            <w:r w:rsidRPr="00E85841">
              <w:rPr>
                <w:rFonts w:ascii="Arial" w:hAnsi="Arial" w:cs="Arial"/>
                <w:sz w:val="22"/>
                <w:szCs w:val="22"/>
              </w:rPr>
              <w:t>Evaluación Estratégica de la Política de Fortalecimiento de la Planeación Municipal con Enfoque Sostenible.</w:t>
            </w:r>
          </w:p>
        </w:tc>
      </w:tr>
      <w:tr w:rsidR="000E1E6C" w:rsidRPr="00E85841" w:rsidTr="000041B2">
        <w:trPr>
          <w:trHeight w:val="300"/>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1.2 Fecha de inicio de la evaluación (</w:t>
            </w:r>
            <w:proofErr w:type="spellStart"/>
            <w:r w:rsidRPr="00E85841">
              <w:rPr>
                <w:rFonts w:ascii="Arial" w:hAnsi="Arial" w:cs="Arial"/>
                <w:b/>
                <w:bCs/>
                <w:sz w:val="22"/>
                <w:szCs w:val="22"/>
              </w:rPr>
              <w:t>dd</w:t>
            </w:r>
            <w:proofErr w:type="spellEnd"/>
            <w:r w:rsidRPr="00E85841">
              <w:rPr>
                <w:rFonts w:ascii="Arial" w:hAnsi="Arial" w:cs="Arial"/>
                <w:b/>
                <w:bCs/>
                <w:sz w:val="22"/>
                <w:szCs w:val="22"/>
              </w:rPr>
              <w:t>/mm/</w:t>
            </w:r>
            <w:proofErr w:type="spellStart"/>
            <w:r w:rsidRPr="00E85841">
              <w:rPr>
                <w:rFonts w:ascii="Arial" w:hAnsi="Arial" w:cs="Arial"/>
                <w:b/>
                <w:bCs/>
                <w:sz w:val="22"/>
                <w:szCs w:val="22"/>
              </w:rPr>
              <w:t>aaaa</w:t>
            </w:r>
            <w:proofErr w:type="spellEnd"/>
            <w:r w:rsidRPr="00E85841">
              <w:rPr>
                <w:rFonts w:ascii="Arial" w:hAnsi="Arial" w:cs="Arial"/>
                <w:b/>
                <w:bCs/>
                <w:sz w:val="22"/>
                <w:szCs w:val="22"/>
              </w:rPr>
              <w:t>):</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7 de septiembre de 2022</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1.3 Fecha de término de la evaluación (</w:t>
            </w:r>
            <w:proofErr w:type="spellStart"/>
            <w:r w:rsidRPr="00E85841">
              <w:rPr>
                <w:rFonts w:ascii="Arial" w:hAnsi="Arial" w:cs="Arial"/>
                <w:b/>
                <w:bCs/>
                <w:sz w:val="22"/>
                <w:szCs w:val="22"/>
              </w:rPr>
              <w:t>dd</w:t>
            </w:r>
            <w:proofErr w:type="spellEnd"/>
            <w:r w:rsidRPr="00E85841">
              <w:rPr>
                <w:rFonts w:ascii="Arial" w:hAnsi="Arial" w:cs="Arial"/>
                <w:b/>
                <w:bCs/>
                <w:sz w:val="22"/>
                <w:szCs w:val="22"/>
              </w:rPr>
              <w:t>/mm/</w:t>
            </w:r>
            <w:proofErr w:type="spellStart"/>
            <w:r w:rsidRPr="00E85841">
              <w:rPr>
                <w:rFonts w:ascii="Arial" w:hAnsi="Arial" w:cs="Arial"/>
                <w:b/>
                <w:bCs/>
                <w:sz w:val="22"/>
                <w:szCs w:val="22"/>
              </w:rPr>
              <w:t>aaaa</w:t>
            </w:r>
            <w:proofErr w:type="spellEnd"/>
            <w:r w:rsidRPr="00E85841">
              <w:rPr>
                <w:rFonts w:ascii="Arial" w:hAnsi="Arial" w:cs="Arial"/>
                <w:b/>
                <w:bCs/>
                <w:sz w:val="22"/>
                <w:szCs w:val="22"/>
              </w:rPr>
              <w:t>):</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bottom"/>
            <w:hideMark/>
          </w:tcPr>
          <w:p w:rsidR="000E1E6C" w:rsidRPr="00E85841" w:rsidRDefault="000E1E6C" w:rsidP="002F66C1">
            <w:pPr>
              <w:spacing w:line="247" w:lineRule="auto"/>
              <w:jc w:val="both"/>
              <w:rPr>
                <w:rFonts w:ascii="Arial" w:hAnsi="Arial" w:cs="Arial"/>
                <w:sz w:val="22"/>
                <w:szCs w:val="22"/>
              </w:rPr>
            </w:pPr>
            <w:r w:rsidRPr="00E85841">
              <w:rPr>
                <w:rFonts w:ascii="Arial" w:hAnsi="Arial" w:cs="Arial"/>
                <w:sz w:val="22"/>
                <w:szCs w:val="22"/>
              </w:rPr>
              <w:t>2</w:t>
            </w:r>
            <w:r w:rsidR="002F66C1" w:rsidRPr="00E85841">
              <w:rPr>
                <w:rFonts w:ascii="Arial" w:hAnsi="Arial" w:cs="Arial"/>
                <w:sz w:val="22"/>
                <w:szCs w:val="22"/>
              </w:rPr>
              <w:t>0</w:t>
            </w:r>
            <w:r w:rsidRPr="00E85841">
              <w:rPr>
                <w:rFonts w:ascii="Arial" w:hAnsi="Arial" w:cs="Arial"/>
                <w:sz w:val="22"/>
                <w:szCs w:val="22"/>
              </w:rPr>
              <w:t xml:space="preserve"> de octubre de 2022 </w:t>
            </w:r>
          </w:p>
        </w:tc>
      </w:tr>
      <w:tr w:rsidR="000E1E6C" w:rsidRPr="00E85841" w:rsidTr="000041B2">
        <w:trPr>
          <w:trHeight w:val="585"/>
        </w:trPr>
        <w:tc>
          <w:tcPr>
            <w:tcW w:w="5000" w:type="pct"/>
            <w:gridSpan w:val="2"/>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1.4 nombre de la persona responsable de darle seguimiento a la evaluación y nombre de la unidad administrativa a la que pertenece</w:t>
            </w:r>
          </w:p>
        </w:tc>
      </w:tr>
      <w:tr w:rsidR="000E1E6C" w:rsidRPr="00E85841" w:rsidTr="000041B2">
        <w:trPr>
          <w:trHeight w:val="300"/>
        </w:trPr>
        <w:tc>
          <w:tcPr>
            <w:tcW w:w="1816" w:type="pct"/>
            <w:tcBorders>
              <w:top w:val="single" w:sz="4" w:space="0" w:color="auto"/>
              <w:left w:val="single" w:sz="4" w:space="0" w:color="auto"/>
              <w:bottom w:val="nil"/>
              <w:right w:val="nil"/>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Nombre:</w:t>
            </w:r>
          </w:p>
        </w:tc>
        <w:tc>
          <w:tcPr>
            <w:tcW w:w="3184" w:type="pct"/>
            <w:tcBorders>
              <w:top w:val="single" w:sz="4" w:space="0" w:color="auto"/>
              <w:left w:val="single" w:sz="4" w:space="0" w:color="auto"/>
              <w:bottom w:val="nil"/>
              <w:right w:val="single" w:sz="4" w:space="0" w:color="auto"/>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Unidad administrativa:</w:t>
            </w:r>
          </w:p>
        </w:tc>
      </w:tr>
      <w:tr w:rsidR="000E1E6C" w:rsidRPr="00E85841" w:rsidTr="000041B2">
        <w:trPr>
          <w:trHeight w:val="285"/>
        </w:trPr>
        <w:tc>
          <w:tcPr>
            <w:tcW w:w="1816" w:type="pct"/>
            <w:tcBorders>
              <w:top w:val="nil"/>
              <w:left w:val="single" w:sz="4" w:space="0" w:color="auto"/>
              <w:bottom w:val="single" w:sz="4" w:space="0" w:color="auto"/>
              <w:right w:val="nil"/>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 Mtro. Gonzalo Lapuente Sastre</w:t>
            </w:r>
          </w:p>
        </w:tc>
        <w:tc>
          <w:tcPr>
            <w:tcW w:w="3184" w:type="pct"/>
            <w:tcBorders>
              <w:top w:val="nil"/>
              <w:left w:val="single" w:sz="4" w:space="0" w:color="auto"/>
              <w:bottom w:val="single" w:sz="4" w:space="0" w:color="auto"/>
              <w:right w:val="single" w:sz="4" w:space="0" w:color="auto"/>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Dirección General de la Instancia Técnica de Evaluación</w:t>
            </w:r>
          </w:p>
        </w:tc>
      </w:tr>
      <w:tr w:rsidR="000E1E6C" w:rsidRPr="00E85841" w:rsidTr="000041B2">
        <w:trPr>
          <w:trHeight w:val="1485"/>
        </w:trPr>
        <w:tc>
          <w:tcPr>
            <w:tcW w:w="5000" w:type="pct"/>
            <w:gridSpan w:val="2"/>
            <w:tcBorders>
              <w:top w:val="single" w:sz="4" w:space="0" w:color="auto"/>
              <w:left w:val="single" w:sz="4" w:space="0" w:color="auto"/>
              <w:bottom w:val="single" w:sz="4" w:space="0" w:color="auto"/>
              <w:right w:val="single" w:sz="4" w:space="0" w:color="000000"/>
            </w:tcBorders>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b/>
                <w:bCs/>
                <w:sz w:val="22"/>
                <w:szCs w:val="22"/>
              </w:rPr>
              <w:t>1.5 Objetivo general de la evaluación:</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Evaluar la congruencia, coherencia y solidez de la Política de Fortalecimiento de la Planeación Municipal con Enfoque Sostenible en términos de su orientación a resultados, identificando las fortalezas y áreas de oportunidad que permitan emitir recomendaciones de política pública que contribuyan a su consolidación.</w:t>
            </w:r>
          </w:p>
        </w:tc>
      </w:tr>
      <w:tr w:rsidR="000E1E6C" w:rsidRPr="00E85841" w:rsidTr="000041B2">
        <w:trPr>
          <w:trHeight w:val="300"/>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1.6 Objetivo específico de la evaluación:</w:t>
            </w:r>
          </w:p>
          <w:p w:rsidR="009A030C" w:rsidRPr="00E85841" w:rsidRDefault="009A030C">
            <w:pPr>
              <w:spacing w:line="247" w:lineRule="auto"/>
              <w:jc w:val="both"/>
              <w:rPr>
                <w:rFonts w:ascii="Arial" w:hAnsi="Arial" w:cs="Arial"/>
                <w:b/>
                <w:bCs/>
                <w:sz w:val="22"/>
                <w:szCs w:val="22"/>
              </w:rPr>
            </w:pPr>
          </w:p>
        </w:tc>
      </w:tr>
      <w:tr w:rsidR="000E1E6C" w:rsidRPr="00E85841" w:rsidTr="000041B2">
        <w:trPr>
          <w:trHeight w:val="2430"/>
        </w:trPr>
        <w:tc>
          <w:tcPr>
            <w:tcW w:w="5000" w:type="pct"/>
            <w:gridSpan w:val="2"/>
            <w:tcBorders>
              <w:top w:val="nil"/>
              <w:left w:val="single" w:sz="4" w:space="0" w:color="auto"/>
              <w:bottom w:val="single" w:sz="4" w:space="0" w:color="auto"/>
              <w:right w:val="single" w:sz="4" w:space="0" w:color="000000"/>
            </w:tcBorders>
            <w:vAlign w:val="center"/>
          </w:tcPr>
          <w:p w:rsidR="000E1E6C" w:rsidRPr="00E85841" w:rsidRDefault="000E1E6C" w:rsidP="00AB0634">
            <w:pPr>
              <w:numPr>
                <w:ilvl w:val="0"/>
                <w:numId w:val="3"/>
              </w:numPr>
              <w:spacing w:line="247" w:lineRule="auto"/>
              <w:contextualSpacing/>
              <w:jc w:val="both"/>
              <w:rPr>
                <w:rFonts w:ascii="Arial" w:hAnsi="Arial" w:cs="Arial"/>
                <w:sz w:val="22"/>
                <w:szCs w:val="22"/>
              </w:rPr>
            </w:pPr>
            <w:r w:rsidRPr="00E85841">
              <w:rPr>
                <w:rFonts w:ascii="Arial" w:hAnsi="Arial" w:cs="Arial"/>
                <w:sz w:val="22"/>
                <w:szCs w:val="22"/>
              </w:rPr>
              <w:t>Determinar la consistencia de la Política de Fortalecimiento de la Planeación Municipal con Enfoque Sostenible a partir de su diseño, atención a la problemática que la origina y la consecución de los objetivos establecidos.</w:t>
            </w:r>
          </w:p>
          <w:p w:rsidR="000E1E6C" w:rsidRPr="00E85841" w:rsidRDefault="000E1E6C" w:rsidP="00AB0634">
            <w:pPr>
              <w:numPr>
                <w:ilvl w:val="0"/>
                <w:numId w:val="3"/>
              </w:numPr>
              <w:spacing w:line="247" w:lineRule="auto"/>
              <w:contextualSpacing/>
              <w:jc w:val="both"/>
              <w:rPr>
                <w:rFonts w:ascii="Arial" w:hAnsi="Arial" w:cs="Arial"/>
                <w:sz w:val="22"/>
                <w:szCs w:val="22"/>
              </w:rPr>
            </w:pPr>
            <w:r w:rsidRPr="00E85841">
              <w:rPr>
                <w:rFonts w:ascii="Arial" w:hAnsi="Arial" w:cs="Arial"/>
                <w:sz w:val="22"/>
                <w:szCs w:val="22"/>
              </w:rPr>
              <w:t>Establecer en qué medida el diseño de la Política de Fortalecimiento de la Planeación Municipal con Enfoque Sostenible cumple con los instrumentos normativos y está alineado con los instrumentos de planeación.</w:t>
            </w:r>
          </w:p>
          <w:p w:rsidR="000E1E6C" w:rsidRPr="00E85841" w:rsidRDefault="000E1E6C" w:rsidP="00AB0634">
            <w:pPr>
              <w:numPr>
                <w:ilvl w:val="0"/>
                <w:numId w:val="3"/>
              </w:numPr>
              <w:spacing w:line="247" w:lineRule="auto"/>
              <w:contextualSpacing/>
              <w:jc w:val="both"/>
              <w:rPr>
                <w:rFonts w:ascii="Arial" w:hAnsi="Arial" w:cs="Arial"/>
                <w:sz w:val="22"/>
                <w:szCs w:val="22"/>
              </w:rPr>
            </w:pPr>
            <w:r w:rsidRPr="00E85841">
              <w:rPr>
                <w:rFonts w:ascii="Arial" w:hAnsi="Arial" w:cs="Arial"/>
                <w:sz w:val="22"/>
                <w:szCs w:val="22"/>
              </w:rPr>
              <w:t>Establecer el grado de cumplimiento de los objetivos de la Política de Fortalecimiento de la Planeación Municipal con Enfoque Sostenible con base en el desempeño de indicadores.</w:t>
            </w:r>
          </w:p>
          <w:p w:rsidR="000E1E6C" w:rsidRPr="00E85841" w:rsidRDefault="000E1E6C" w:rsidP="00AB0634">
            <w:pPr>
              <w:numPr>
                <w:ilvl w:val="0"/>
                <w:numId w:val="3"/>
              </w:numPr>
              <w:spacing w:line="247" w:lineRule="auto"/>
              <w:contextualSpacing/>
              <w:jc w:val="both"/>
              <w:rPr>
                <w:rFonts w:ascii="Arial" w:hAnsi="Arial" w:cs="Arial"/>
                <w:sz w:val="22"/>
                <w:szCs w:val="22"/>
              </w:rPr>
            </w:pPr>
            <w:r w:rsidRPr="00E85841">
              <w:rPr>
                <w:rFonts w:ascii="Arial" w:hAnsi="Arial" w:cs="Arial"/>
                <w:sz w:val="22"/>
                <w:szCs w:val="22"/>
              </w:rPr>
              <w:t>Analizar la incidencia de la Política de Fortalecimiento de la Planeación Municipal con Enfoque Sostenible en otras intervenciones públicas y/o sectores.</w:t>
            </w:r>
          </w:p>
          <w:p w:rsidR="009A030C" w:rsidRPr="00E85841" w:rsidRDefault="009A030C" w:rsidP="009A030C">
            <w:pPr>
              <w:spacing w:line="247" w:lineRule="auto"/>
              <w:ind w:left="360"/>
              <w:contextualSpacing/>
              <w:jc w:val="both"/>
              <w:rPr>
                <w:rFonts w:ascii="Arial" w:hAnsi="Arial" w:cs="Arial"/>
                <w:sz w:val="22"/>
                <w:szCs w:val="22"/>
              </w:rPr>
            </w:pP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center"/>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1.7 Metodología utilizada en la evaluación:</w:t>
            </w:r>
          </w:p>
        </w:tc>
      </w:tr>
      <w:tr w:rsidR="000E1E6C" w:rsidRPr="00E85841" w:rsidTr="009A030C">
        <w:trPr>
          <w:trHeight w:val="1144"/>
        </w:trPr>
        <w:tc>
          <w:tcPr>
            <w:tcW w:w="5000" w:type="pct"/>
            <w:gridSpan w:val="2"/>
            <w:tcBorders>
              <w:top w:val="nil"/>
              <w:left w:val="single" w:sz="4" w:space="0" w:color="auto"/>
              <w:bottom w:val="single" w:sz="4" w:space="0" w:color="auto"/>
              <w:right w:val="single" w:sz="4" w:space="0" w:color="000000"/>
            </w:tcBorders>
            <w:vAlign w:val="center"/>
            <w:hideMark/>
          </w:tcPr>
          <w:p w:rsidR="00B43C32" w:rsidRPr="00E85841" w:rsidRDefault="000E1E6C" w:rsidP="00B43C32">
            <w:pPr>
              <w:spacing w:line="247" w:lineRule="auto"/>
              <w:jc w:val="both"/>
              <w:rPr>
                <w:rFonts w:ascii="Arial" w:hAnsi="Arial" w:cs="Arial"/>
                <w:sz w:val="22"/>
                <w:szCs w:val="22"/>
              </w:rPr>
            </w:pPr>
            <w:r w:rsidRPr="00E85841">
              <w:rPr>
                <w:rFonts w:ascii="Arial" w:hAnsi="Arial" w:cs="Arial"/>
                <w:sz w:val="22"/>
                <w:szCs w:val="22"/>
              </w:rPr>
              <w:t>El instrumento utilizado para realizar la evaluación es el contenido en los Términos de Referencia (</w:t>
            </w:r>
            <w:proofErr w:type="spellStart"/>
            <w:r w:rsidRPr="00E85841">
              <w:rPr>
                <w:rFonts w:ascii="Arial" w:hAnsi="Arial" w:cs="Arial"/>
                <w:sz w:val="22"/>
                <w:szCs w:val="22"/>
              </w:rPr>
              <w:t>TdR</w:t>
            </w:r>
            <w:proofErr w:type="spellEnd"/>
            <w:r w:rsidRPr="00E85841">
              <w:rPr>
                <w:rFonts w:ascii="Arial" w:hAnsi="Arial" w:cs="Arial"/>
                <w:sz w:val="22"/>
                <w:szCs w:val="22"/>
              </w:rPr>
              <w:t>) para la Evaluación Estratégica a la Política de Fortalecimiento de la Planeación Mun</w:t>
            </w:r>
            <w:r w:rsidR="000041B2" w:rsidRPr="00E85841">
              <w:rPr>
                <w:rFonts w:ascii="Arial" w:hAnsi="Arial" w:cs="Arial"/>
                <w:sz w:val="22"/>
                <w:szCs w:val="22"/>
              </w:rPr>
              <w:t xml:space="preserve">icipal con Enfoque Sostenible. </w:t>
            </w:r>
            <w:r w:rsidRPr="00E85841">
              <w:rPr>
                <w:rFonts w:ascii="Arial" w:hAnsi="Arial" w:cs="Arial"/>
                <w:sz w:val="22"/>
                <w:szCs w:val="22"/>
              </w:rPr>
              <w:t xml:space="preserve">En los </w:t>
            </w:r>
            <w:proofErr w:type="spellStart"/>
            <w:r w:rsidRPr="00E85841">
              <w:rPr>
                <w:rFonts w:ascii="Arial" w:hAnsi="Arial" w:cs="Arial"/>
                <w:sz w:val="22"/>
                <w:szCs w:val="22"/>
              </w:rPr>
              <w:t>TdR</w:t>
            </w:r>
            <w:proofErr w:type="spellEnd"/>
            <w:r w:rsidRPr="00E85841">
              <w:rPr>
                <w:rFonts w:ascii="Arial" w:hAnsi="Arial" w:cs="Arial"/>
                <w:sz w:val="22"/>
                <w:szCs w:val="22"/>
              </w:rPr>
              <w:t xml:space="preserve"> se establece la forma de recolección de información </w:t>
            </w:r>
            <w:r w:rsidR="00B43C32" w:rsidRPr="00E85841">
              <w:rPr>
                <w:rFonts w:ascii="Arial" w:hAnsi="Arial" w:cs="Arial"/>
                <w:sz w:val="22"/>
                <w:szCs w:val="22"/>
              </w:rPr>
              <w:t xml:space="preserve">por parte de la DGITE </w:t>
            </w:r>
            <w:r w:rsidRPr="00E85841">
              <w:rPr>
                <w:rFonts w:ascii="Arial" w:hAnsi="Arial" w:cs="Arial"/>
                <w:sz w:val="22"/>
                <w:szCs w:val="22"/>
              </w:rPr>
              <w:t>mediante la “bitácora de recopilación de información”</w:t>
            </w:r>
            <w:r w:rsidR="00B43C32" w:rsidRPr="00E85841">
              <w:rPr>
                <w:rFonts w:ascii="Arial" w:hAnsi="Arial" w:cs="Arial"/>
                <w:sz w:val="22"/>
                <w:szCs w:val="22"/>
              </w:rPr>
              <w:t>.</w:t>
            </w:r>
          </w:p>
          <w:p w:rsidR="000E1E6C" w:rsidRPr="00E85841" w:rsidRDefault="000E1E6C" w:rsidP="00250A9A">
            <w:pPr>
              <w:spacing w:line="247" w:lineRule="auto"/>
              <w:jc w:val="both"/>
              <w:rPr>
                <w:rFonts w:ascii="Arial" w:hAnsi="Arial" w:cs="Arial"/>
                <w:sz w:val="22"/>
                <w:szCs w:val="22"/>
              </w:rPr>
            </w:pPr>
            <w:r w:rsidRPr="00E85841">
              <w:rPr>
                <w:rFonts w:ascii="Arial" w:hAnsi="Arial" w:cs="Arial"/>
                <w:sz w:val="22"/>
                <w:szCs w:val="22"/>
              </w:rPr>
              <w:t>El método central de análisis fue análisis documental y de gabinete.</w:t>
            </w:r>
            <w:r w:rsidR="00250A9A" w:rsidRPr="00E85841">
              <w:rPr>
                <w:rFonts w:ascii="Arial" w:hAnsi="Arial" w:cs="Arial"/>
                <w:sz w:val="22"/>
                <w:szCs w:val="22"/>
              </w:rPr>
              <w:t xml:space="preserve"> La investigación se realiza a partir del enfoque cualitativo. Se</w:t>
            </w:r>
            <w:r w:rsidR="00250A9A" w:rsidRPr="00E85841">
              <w:rPr>
                <w:rFonts w:ascii="Arial" w:hAnsi="Arial" w:cs="Arial"/>
                <w:sz w:val="22"/>
                <w:szCs w:val="22"/>
              </w:rPr>
              <w:t xml:space="preserve"> </w:t>
            </w:r>
            <w:r w:rsidR="00250A9A" w:rsidRPr="00E85841">
              <w:rPr>
                <w:rFonts w:ascii="Arial" w:hAnsi="Arial" w:cs="Arial"/>
                <w:sz w:val="22"/>
                <w:szCs w:val="22"/>
              </w:rPr>
              <w:t>dio</w:t>
            </w:r>
            <w:r w:rsidR="00250A9A" w:rsidRPr="00E85841">
              <w:rPr>
                <w:rFonts w:ascii="Arial" w:hAnsi="Arial" w:cs="Arial"/>
                <w:sz w:val="22"/>
                <w:szCs w:val="22"/>
              </w:rPr>
              <w:t xml:space="preserve"> respuesta a las 1</w:t>
            </w:r>
            <w:r w:rsidR="00250A9A" w:rsidRPr="00E85841">
              <w:rPr>
                <w:rFonts w:ascii="Arial" w:hAnsi="Arial" w:cs="Arial"/>
                <w:sz w:val="22"/>
                <w:szCs w:val="22"/>
              </w:rPr>
              <w:t>8 preguntas de</w:t>
            </w:r>
            <w:r w:rsidR="00250A9A" w:rsidRPr="00E85841">
              <w:rPr>
                <w:rFonts w:ascii="Arial" w:hAnsi="Arial" w:cs="Arial"/>
                <w:sz w:val="22"/>
                <w:szCs w:val="22"/>
              </w:rPr>
              <w:t xml:space="preserve"> investigación de las cuales 13 de el</w:t>
            </w:r>
            <w:r w:rsidR="00250A9A" w:rsidRPr="00E85841">
              <w:rPr>
                <w:rFonts w:ascii="Arial" w:hAnsi="Arial" w:cs="Arial"/>
                <w:sz w:val="22"/>
                <w:szCs w:val="22"/>
              </w:rPr>
              <w:t xml:space="preserve">las fueron sometidas, además del </w:t>
            </w:r>
            <w:r w:rsidR="00250A9A" w:rsidRPr="00E85841">
              <w:rPr>
                <w:rFonts w:ascii="Arial" w:hAnsi="Arial" w:cs="Arial"/>
                <w:sz w:val="22"/>
                <w:szCs w:val="22"/>
              </w:rPr>
              <w:t>análisis cualitativo, a un análisis cuantitativo en el que la inst</w:t>
            </w:r>
            <w:r w:rsidR="00250A9A" w:rsidRPr="00E85841">
              <w:rPr>
                <w:rFonts w:ascii="Arial" w:hAnsi="Arial" w:cs="Arial"/>
                <w:sz w:val="22"/>
                <w:szCs w:val="22"/>
              </w:rPr>
              <w:t xml:space="preserve">ancia evaluadora estableció dos </w:t>
            </w:r>
            <w:r w:rsidR="00250A9A" w:rsidRPr="00E85841">
              <w:rPr>
                <w:rFonts w:ascii="Arial" w:hAnsi="Arial" w:cs="Arial"/>
                <w:sz w:val="22"/>
                <w:szCs w:val="22"/>
              </w:rPr>
              <w:t>puntos posibles de obtener por pregunta, teniendo así un total de 26 puntos como límite</w:t>
            </w:r>
            <w:r w:rsidR="00250A9A" w:rsidRPr="00E85841">
              <w:rPr>
                <w:rFonts w:ascii="Arial" w:hAnsi="Arial" w:cs="Arial"/>
                <w:sz w:val="22"/>
                <w:szCs w:val="22"/>
              </w:rPr>
              <w:t xml:space="preserve"> máximo </w:t>
            </w:r>
            <w:r w:rsidR="00250A9A" w:rsidRPr="00E85841">
              <w:rPr>
                <w:rFonts w:ascii="Arial" w:hAnsi="Arial" w:cs="Arial"/>
                <w:sz w:val="22"/>
                <w:szCs w:val="22"/>
              </w:rPr>
              <w:t>de cumplimiento.</w:t>
            </w:r>
          </w:p>
          <w:p w:rsidR="00250A9A" w:rsidRPr="00E85841" w:rsidRDefault="00250A9A" w:rsidP="00250A9A">
            <w:pPr>
              <w:spacing w:line="247" w:lineRule="auto"/>
              <w:jc w:val="both"/>
              <w:rPr>
                <w:rFonts w:ascii="Arial" w:hAnsi="Arial" w:cs="Arial"/>
                <w:sz w:val="22"/>
                <w:szCs w:val="22"/>
              </w:rPr>
            </w:pPr>
            <w:r w:rsidRPr="00E85841">
              <w:rPr>
                <w:rFonts w:ascii="Arial" w:hAnsi="Arial" w:cs="Arial"/>
                <w:sz w:val="22"/>
                <w:szCs w:val="22"/>
              </w:rPr>
              <w:lastRenderedPageBreak/>
              <w:t>El alcance de la evaluación es predominante descriptivo, en e</w:t>
            </w:r>
            <w:r w:rsidR="009A030C" w:rsidRPr="00E85841">
              <w:rPr>
                <w:rFonts w:ascii="Arial" w:hAnsi="Arial" w:cs="Arial"/>
                <w:sz w:val="22"/>
                <w:szCs w:val="22"/>
              </w:rPr>
              <w:t xml:space="preserve">l sentido de que busca examinar </w:t>
            </w:r>
            <w:r w:rsidRPr="00E85841">
              <w:rPr>
                <w:rFonts w:ascii="Arial" w:hAnsi="Arial" w:cs="Arial"/>
                <w:sz w:val="22"/>
                <w:szCs w:val="22"/>
              </w:rPr>
              <w:t>las características y estado del diseño de la política; sin embargo, también s</w:t>
            </w:r>
            <w:r w:rsidR="009A030C" w:rsidRPr="00E85841">
              <w:rPr>
                <w:rFonts w:ascii="Arial" w:hAnsi="Arial" w:cs="Arial"/>
                <w:sz w:val="22"/>
                <w:szCs w:val="22"/>
              </w:rPr>
              <w:t xml:space="preserve">e incluyen análisis </w:t>
            </w:r>
            <w:r w:rsidRPr="00E85841">
              <w:rPr>
                <w:rFonts w:ascii="Arial" w:hAnsi="Arial" w:cs="Arial"/>
                <w:sz w:val="22"/>
                <w:szCs w:val="22"/>
              </w:rPr>
              <w:t>explicativo que buscan identificar los resultados de la política durante su implementación.</w:t>
            </w:r>
          </w:p>
          <w:p w:rsidR="009A030C" w:rsidRPr="00E85841" w:rsidRDefault="009A030C" w:rsidP="00250A9A">
            <w:pPr>
              <w:spacing w:line="247" w:lineRule="auto"/>
              <w:jc w:val="both"/>
              <w:rPr>
                <w:rFonts w:ascii="Arial" w:hAnsi="Arial" w:cs="Arial"/>
                <w:sz w:val="22"/>
                <w:szCs w:val="22"/>
              </w:rPr>
            </w:pP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vAlign w:val="center"/>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lastRenderedPageBreak/>
              <w:t>Instrumento de recolección de información:</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Cuestionario___  Entrevistas____  Formatos___ </w:t>
            </w:r>
            <w:proofErr w:type="spellStart"/>
            <w:r w:rsidRPr="00E85841">
              <w:rPr>
                <w:rFonts w:ascii="Arial" w:hAnsi="Arial" w:cs="Arial"/>
                <w:sz w:val="22"/>
                <w:szCs w:val="22"/>
              </w:rPr>
              <w:t>Otros_</w:t>
            </w:r>
            <w:r w:rsidRPr="00E85841">
              <w:rPr>
                <w:rFonts w:ascii="Arial" w:hAnsi="Arial" w:cs="Arial"/>
                <w:sz w:val="22"/>
                <w:szCs w:val="22"/>
                <w:u w:val="single"/>
              </w:rPr>
              <w:t>X</w:t>
            </w:r>
            <w:proofErr w:type="spellEnd"/>
            <w:r w:rsidRPr="00E85841">
              <w:rPr>
                <w:rFonts w:ascii="Arial" w:hAnsi="Arial" w:cs="Arial"/>
                <w:sz w:val="22"/>
                <w:szCs w:val="22"/>
              </w:rPr>
              <w:t>_ Especifique: Bitácora digital</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w:t>
            </w:r>
          </w:p>
        </w:tc>
      </w:tr>
      <w:tr w:rsidR="000E1E6C" w:rsidRPr="00E85841" w:rsidTr="000041B2">
        <w:trPr>
          <w:trHeight w:val="285"/>
        </w:trPr>
        <w:tc>
          <w:tcPr>
            <w:tcW w:w="5000" w:type="pct"/>
            <w:gridSpan w:val="2"/>
            <w:tcBorders>
              <w:top w:val="single" w:sz="4" w:space="0" w:color="auto"/>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Descripción de las técnicas y modelos utilizados:</w:t>
            </w:r>
          </w:p>
        </w:tc>
      </w:tr>
      <w:tr w:rsidR="000E1E6C" w:rsidRPr="00E85841" w:rsidTr="009A030C">
        <w:trPr>
          <w:trHeight w:val="3221"/>
        </w:trPr>
        <w:tc>
          <w:tcPr>
            <w:tcW w:w="5000" w:type="pct"/>
            <w:gridSpan w:val="2"/>
            <w:tcBorders>
              <w:top w:val="single" w:sz="4" w:space="0" w:color="auto"/>
              <w:left w:val="single" w:sz="4" w:space="0" w:color="auto"/>
              <w:bottom w:val="single" w:sz="4" w:space="0" w:color="auto"/>
              <w:right w:val="single" w:sz="4" w:space="0" w:color="000000"/>
            </w:tcBorders>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Se determinó utilizar el análisis de gabinete para la información proporcionada por la Instanci</w:t>
            </w:r>
            <w:r w:rsidR="00B43C32" w:rsidRPr="00E85841">
              <w:rPr>
                <w:rFonts w:ascii="Arial" w:hAnsi="Arial" w:cs="Arial"/>
                <w:sz w:val="22"/>
                <w:szCs w:val="22"/>
              </w:rPr>
              <w:t xml:space="preserve">a Técnica de Evaluación (ITE). </w:t>
            </w:r>
            <w:r w:rsidRPr="00E85841">
              <w:rPr>
                <w:rFonts w:ascii="Arial" w:hAnsi="Arial" w:cs="Arial"/>
                <w:sz w:val="22"/>
                <w:szCs w:val="22"/>
              </w:rPr>
              <w:t xml:space="preserve">Este análisis se realiza con información proporcionada por las dependencias o entidades responsables de la estrategia mediante la bitácora de recolección de información y los documentos públicos disponibles en las páginas oficiales del gobierno del estado. </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Conforme se establece en los términos de referencia, la evaluación estratégica se divide en cuatro temas rectores</w:t>
            </w:r>
            <w:r w:rsidR="009A030C" w:rsidRPr="00E85841">
              <w:rPr>
                <w:rFonts w:ascii="Arial" w:hAnsi="Arial" w:cs="Arial"/>
                <w:sz w:val="22"/>
                <w:szCs w:val="22"/>
              </w:rPr>
              <w:t>: Diseño de la política, Alineación de la política, Desempeño de la política e Incidencia de la política; los</w:t>
            </w:r>
            <w:r w:rsidRPr="00E85841">
              <w:rPr>
                <w:rFonts w:ascii="Arial" w:hAnsi="Arial" w:cs="Arial"/>
                <w:sz w:val="22"/>
                <w:szCs w:val="22"/>
              </w:rPr>
              <w:t xml:space="preserve"> que se analizan a partir de un conjunto de 18 preguntas de investigación. Se seleccionaron 13 preguntas de investigación, cada pregunta cuenta con tres niveles de cumplimiento (0, 1 y 2) de acuerdo con los criterios específicos establecidos por el evaluador, teniendo la posibilidad de contar con un máximo de 26 puntos (dos por cada pregunta) lo que supone un 100% de nivel de cumplimiento.</w:t>
            </w:r>
          </w:p>
        </w:tc>
      </w:tr>
    </w:tbl>
    <w:p w:rsidR="000E1E6C" w:rsidRPr="00E85841" w:rsidRDefault="000E1E6C" w:rsidP="000E1E6C">
      <w:pPr>
        <w:jc w:val="center"/>
        <w:rPr>
          <w:rFonts w:ascii="Arial" w:hAnsi="Arial" w:cs="Arial"/>
          <w:b/>
          <w:bCs/>
          <w:sz w:val="22"/>
          <w:szCs w:val="22"/>
        </w:rPr>
      </w:pPr>
    </w:p>
    <w:tbl>
      <w:tblPr>
        <w:tblW w:w="4975" w:type="pct"/>
        <w:tblLayout w:type="fixed"/>
        <w:tblCellMar>
          <w:left w:w="70" w:type="dxa"/>
          <w:right w:w="70" w:type="dxa"/>
        </w:tblCellMar>
        <w:tblLook w:val="04A0" w:firstRow="1" w:lastRow="0" w:firstColumn="1" w:lastColumn="0" w:noHBand="0" w:noVBand="1"/>
      </w:tblPr>
      <w:tblGrid>
        <w:gridCol w:w="8784"/>
      </w:tblGrid>
      <w:tr w:rsidR="000E1E6C" w:rsidRPr="00E85841" w:rsidTr="002F66C1">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t>DESCRIPCIÓN DE LA EVALUACIÓN</w:t>
            </w:r>
          </w:p>
        </w:tc>
      </w:tr>
      <w:tr w:rsidR="000E1E6C" w:rsidRPr="00E85841" w:rsidTr="002F66C1">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2.1 Describir los hallazgos más relevantes de la evaluación:</w:t>
            </w:r>
          </w:p>
          <w:p w:rsidR="009A030C" w:rsidRPr="00E85841" w:rsidRDefault="009A030C">
            <w:pPr>
              <w:spacing w:line="247" w:lineRule="auto"/>
              <w:jc w:val="both"/>
              <w:rPr>
                <w:rFonts w:ascii="Arial" w:hAnsi="Arial" w:cs="Arial"/>
                <w:b/>
                <w:bCs/>
                <w:sz w:val="22"/>
                <w:szCs w:val="22"/>
              </w:rPr>
            </w:pPr>
          </w:p>
        </w:tc>
      </w:tr>
      <w:tr w:rsidR="000E1E6C" w:rsidRPr="00E85841" w:rsidTr="002F66C1">
        <w:trPr>
          <w:trHeight w:val="840"/>
        </w:trPr>
        <w:tc>
          <w:tcPr>
            <w:tcW w:w="5000" w:type="pct"/>
            <w:tcBorders>
              <w:top w:val="nil"/>
              <w:left w:val="single" w:sz="4" w:space="0" w:color="auto"/>
              <w:bottom w:val="single" w:sz="4" w:space="0" w:color="auto"/>
              <w:right w:val="single" w:sz="4" w:space="0" w:color="000000"/>
            </w:tcBorders>
            <w:vAlign w:val="bottom"/>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Como resultado de la evaluación se encontró que el problema de atención de la Política se identifica claramente desde los principales documentos de planeación hasta los operativos, permitiendo así el análisis y operación de la Política con un enfoque que va desde las actividades hasta los impactos. De la misma manera se determina que la Política de Fortalecimiento de la Planeación Municipal con Enfoque Sostenible cuenta con una vinculación consistente que involucra a los tres órdenes de gobierno, instituciones académicas, organismos internacionales para la participación colaborativa en el alcance de los objetivos establecidos desde el Plan Estatal de Desarrollo 2016 – 2022.</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Por parte de los indic</w:t>
            </w:r>
            <w:r w:rsidR="00E85841">
              <w:rPr>
                <w:rFonts w:ascii="Arial" w:hAnsi="Arial" w:cs="Arial"/>
                <w:sz w:val="22"/>
                <w:szCs w:val="22"/>
              </w:rPr>
              <w:t>a</w:t>
            </w:r>
            <w:r w:rsidRPr="00E85841">
              <w:rPr>
                <w:rFonts w:ascii="Arial" w:hAnsi="Arial" w:cs="Arial"/>
                <w:sz w:val="22"/>
                <w:szCs w:val="22"/>
              </w:rPr>
              <w:t>dores de desempeño, un hallazgo importante es que se cuenta con indicadores adecuados para medir los aspectos sustantivos de la Política, destacando el Subíndice de gobiernos eficientes y eficaces del índice de competi</w:t>
            </w:r>
            <w:r w:rsidR="00692BF9" w:rsidRPr="00E85841">
              <w:rPr>
                <w:rFonts w:ascii="Arial" w:hAnsi="Arial" w:cs="Arial"/>
                <w:sz w:val="22"/>
                <w:szCs w:val="22"/>
              </w:rPr>
              <w:t>tividad estatal y el Índice de M</w:t>
            </w:r>
            <w:r w:rsidRPr="00E85841">
              <w:rPr>
                <w:rFonts w:ascii="Arial" w:hAnsi="Arial" w:cs="Arial"/>
                <w:sz w:val="22"/>
                <w:szCs w:val="22"/>
              </w:rPr>
              <w:t xml:space="preserve">arginación municipal. Estos indicadores se calculan por instancias externas al Gobierno del Estado de Oaxaca, lo cual tiene como punto a favor que su medición es imparcial. </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El result</w:t>
            </w:r>
            <w:r w:rsidR="00692BF9" w:rsidRPr="00E85841">
              <w:rPr>
                <w:rFonts w:ascii="Arial" w:hAnsi="Arial" w:cs="Arial"/>
                <w:sz w:val="22"/>
                <w:szCs w:val="22"/>
              </w:rPr>
              <w:t>ado de la implementación de la P</w:t>
            </w:r>
            <w:r w:rsidRPr="00E85841">
              <w:rPr>
                <w:rFonts w:ascii="Arial" w:hAnsi="Arial" w:cs="Arial"/>
                <w:sz w:val="22"/>
                <w:szCs w:val="22"/>
              </w:rPr>
              <w:t xml:space="preserve">olítica ha sido favorable a pesar de contar con variables externas que dificultaron su implementación. Dentro de los hallazgos importantes es notable que a pesar de las eventualidades citadas, los indicadores de gestión reportados por el ente responsable de la Política muestran resultados positivos lo que es sugiere que las labores referentes al tema de estudio de esta evaluación no se detuvieron posibilitando el alcance de sus metas. </w:t>
            </w:r>
          </w:p>
          <w:p w:rsidR="000E1E6C" w:rsidRPr="00E85841" w:rsidRDefault="000E1E6C">
            <w:pPr>
              <w:spacing w:line="247" w:lineRule="auto"/>
              <w:jc w:val="both"/>
              <w:rPr>
                <w:rFonts w:ascii="Arial" w:hAnsi="Arial" w:cs="Arial"/>
                <w:sz w:val="22"/>
                <w:szCs w:val="22"/>
              </w:rPr>
            </w:pPr>
          </w:p>
          <w:p w:rsidR="000E1E6C" w:rsidRDefault="000E1E6C">
            <w:pPr>
              <w:spacing w:line="247" w:lineRule="auto"/>
              <w:jc w:val="both"/>
              <w:rPr>
                <w:rFonts w:ascii="Arial" w:hAnsi="Arial" w:cs="Arial"/>
                <w:sz w:val="22"/>
                <w:szCs w:val="22"/>
              </w:rPr>
            </w:pPr>
            <w:r w:rsidRPr="00E85841">
              <w:rPr>
                <w:rFonts w:ascii="Arial" w:hAnsi="Arial" w:cs="Arial"/>
                <w:sz w:val="22"/>
                <w:szCs w:val="22"/>
              </w:rPr>
              <w:lastRenderedPageBreak/>
              <w:t>La implementación de la Política de Fortalecimiento de la Planeación Municipal con Enfoque Sostenible ha sido eficaz, puesto que se ha producido el efecto deseado tal como lo muestra el Índice de Marginación en su dimensión municipal, para el cual se ha superado la meta planteada en el Plan Estratégico Sectorial Gobierno Moderno de disminuir el número de municipios con muy alto y alto grado de marginación para el año 2020 a 415 y obteniendo como resultado de las acciones implementadas por la Política la reducción a 326 municipios.</w:t>
            </w:r>
          </w:p>
          <w:p w:rsidR="00E85841" w:rsidRPr="00E85841" w:rsidRDefault="00E85841">
            <w:pPr>
              <w:spacing w:line="247" w:lineRule="auto"/>
              <w:jc w:val="both"/>
              <w:rPr>
                <w:rFonts w:ascii="Arial" w:hAnsi="Arial" w:cs="Arial"/>
                <w:sz w:val="22"/>
                <w:szCs w:val="22"/>
              </w:rPr>
            </w:pPr>
          </w:p>
        </w:tc>
      </w:tr>
      <w:tr w:rsidR="000E1E6C" w:rsidRPr="00E85841" w:rsidTr="002F66C1">
        <w:trPr>
          <w:trHeight w:val="566"/>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sz w:val="22"/>
                <w:szCs w:val="22"/>
              </w:rPr>
            </w:pPr>
            <w:r w:rsidRPr="00E85841">
              <w:rPr>
                <w:rFonts w:ascii="Arial" w:hAnsi="Arial" w:cs="Arial"/>
                <w:b/>
                <w:sz w:val="22"/>
                <w:szCs w:val="22"/>
              </w:rPr>
              <w:lastRenderedPageBreak/>
              <w:t>2.2</w:t>
            </w:r>
            <w:r w:rsidRPr="00E85841">
              <w:rPr>
                <w:rFonts w:ascii="Arial" w:hAnsi="Arial" w:cs="Arial"/>
                <w:sz w:val="22"/>
                <w:szCs w:val="22"/>
              </w:rPr>
              <w:t xml:space="preserve"> Señalar cuáles son las principales Fortalezas, Oportunidades, Debilidades y Amenazas (FODA), de acuerdo con los temas de la política, programa, estrategia o instituciones</w:t>
            </w:r>
          </w:p>
        </w:tc>
      </w:tr>
      <w:tr w:rsidR="000E1E6C" w:rsidRPr="00E85841" w:rsidTr="002F66C1">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2.2.1 Fortalezas:</w:t>
            </w:r>
          </w:p>
        </w:tc>
      </w:tr>
      <w:tr w:rsidR="000E1E6C" w:rsidRPr="00E85841" w:rsidTr="002F66C1">
        <w:trPr>
          <w:trHeight w:val="855"/>
        </w:trPr>
        <w:tc>
          <w:tcPr>
            <w:tcW w:w="5000" w:type="pct"/>
            <w:tcBorders>
              <w:top w:val="nil"/>
              <w:left w:val="single" w:sz="4" w:space="0" w:color="auto"/>
              <w:bottom w:val="single" w:sz="4" w:space="0" w:color="auto"/>
              <w:right w:val="single" w:sz="4" w:space="0" w:color="000000"/>
            </w:tcBorders>
            <w:vAlign w:val="bottom"/>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 La problemática se encuentra identificada desde los principales documentos de planeación (PED, PES, PEI) hasta los operativos (MIR, PAT) y su alineación a estos instrumentos permite dar seguimiento desde las acciones hasta los impactos.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2. Todas las acciones que articulan la Política se encuentran orientadas a resultados.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3. La Política se actualiza constantemente y genera nuevos instrumentos normativos y de planeación conforme a las necesidades identificadas.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4. Los indicadores de gestión de la Política alcanzan y superan las metas establecidas.</w:t>
            </w:r>
          </w:p>
          <w:p w:rsidR="000E1E6C" w:rsidRPr="00E85841" w:rsidRDefault="000E1E6C">
            <w:pPr>
              <w:spacing w:line="247" w:lineRule="auto"/>
              <w:jc w:val="both"/>
              <w:rPr>
                <w:rFonts w:ascii="Arial" w:hAnsi="Arial" w:cs="Arial"/>
                <w:color w:val="000000"/>
                <w:sz w:val="20"/>
                <w:szCs w:val="20"/>
              </w:rPr>
            </w:pPr>
            <w:r w:rsidRPr="00E85841">
              <w:rPr>
                <w:rFonts w:ascii="Arial" w:hAnsi="Arial" w:cs="Arial"/>
                <w:color w:val="000000"/>
                <w:sz w:val="20"/>
                <w:szCs w:val="20"/>
              </w:rPr>
              <w:t>5.</w:t>
            </w:r>
            <w:r w:rsidRPr="00E85841">
              <w:rPr>
                <w:rFonts w:ascii="Arial" w:hAnsi="Arial" w:cs="Arial"/>
                <w:sz w:val="20"/>
                <w:szCs w:val="20"/>
              </w:rPr>
              <w:t xml:space="preserve"> </w:t>
            </w:r>
            <w:r w:rsidRPr="00E85841">
              <w:rPr>
                <w:rFonts w:ascii="Arial" w:hAnsi="Arial" w:cs="Arial"/>
                <w:color w:val="000000"/>
                <w:sz w:val="20"/>
                <w:szCs w:val="20"/>
              </w:rPr>
              <w:t>Se cuenta con buenas prácticas a nivel municipal reconocidas por el INAFED.</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 Se cuenta con una articulación sólida para la implementación de las Comisiones Municipales Oaxaca 2030.</w:t>
            </w:r>
          </w:p>
        </w:tc>
      </w:tr>
      <w:tr w:rsidR="000E1E6C" w:rsidRPr="00E85841" w:rsidTr="002F66C1">
        <w:trPr>
          <w:trHeight w:val="285"/>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2.2.2 Oportunidades:</w:t>
            </w:r>
          </w:p>
        </w:tc>
      </w:tr>
      <w:tr w:rsidR="000E1E6C" w:rsidRPr="00E85841" w:rsidTr="002F66C1">
        <w:trPr>
          <w:trHeight w:val="885"/>
        </w:trPr>
        <w:tc>
          <w:tcPr>
            <w:tcW w:w="5000" w:type="pct"/>
            <w:tcBorders>
              <w:top w:val="nil"/>
              <w:left w:val="single" w:sz="4" w:space="0" w:color="auto"/>
              <w:bottom w:val="single" w:sz="4" w:space="0" w:color="auto"/>
              <w:right w:val="single" w:sz="4" w:space="0" w:color="000000"/>
            </w:tcBorders>
            <w:vAlign w:val="center"/>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 El Instituto Nacional para el Federalismo y el Desarrollo Municipal está dedicado a fortalecer las capacidades institucionales de las administraciones públicas estatales y municipales, siendo un aliado de los gobiernos locales.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2. Por encargo del Ministerio Federal de Cooperación Económica y Desarrollo, la Agencia Alemana de Cooperación Internacional (GIZ) apoya a México en la concepción de la política mexicana de desarrollo, tema en el que Oaxaca ya ha sido beneficiado y puede continuar recibiendo el apoyo.</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3. En los últimos años se ha desarrollado mayor información acerca de la metodología de matrices en cascada para la planeación y operación de políticas complejas.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4. Existe un caso ampliamente documentado para la construcción de un sistema de medición de desempeño de la gestión municipal con indicadores propios, el de la Municipalidad de San Felipe, Chile. Este caso puede servir de referente para impulsar la construcción de un sistema para el Estado de Oaxaca.</w:t>
            </w:r>
          </w:p>
        </w:tc>
      </w:tr>
      <w:tr w:rsidR="000E1E6C" w:rsidRPr="00E85841" w:rsidTr="002F66C1">
        <w:trPr>
          <w:trHeight w:val="285"/>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2.2.3 Debilidades:</w:t>
            </w:r>
          </w:p>
        </w:tc>
      </w:tr>
      <w:tr w:rsidR="000E1E6C" w:rsidRPr="00E85841" w:rsidTr="002F66C1">
        <w:trPr>
          <w:trHeight w:val="1170"/>
        </w:trPr>
        <w:tc>
          <w:tcPr>
            <w:tcW w:w="5000" w:type="pct"/>
            <w:tcBorders>
              <w:top w:val="nil"/>
              <w:left w:val="single" w:sz="4" w:space="0" w:color="auto"/>
              <w:bottom w:val="single" w:sz="4" w:space="0" w:color="auto"/>
              <w:right w:val="single" w:sz="4" w:space="0" w:color="000000"/>
            </w:tcBorders>
            <w:vAlign w:val="center"/>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 No se cuenta con información sistematizada que indique las atribuciones principales de los actores involucrados en la Política así como una forma de contacto directo con ellos.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2. Uno de los indicadores </w:t>
            </w:r>
            <w:r w:rsidR="000041B2" w:rsidRPr="00E85841">
              <w:rPr>
                <w:rFonts w:ascii="Arial" w:hAnsi="Arial" w:cs="Arial"/>
                <w:sz w:val="22"/>
                <w:szCs w:val="22"/>
              </w:rPr>
              <w:t>más</w:t>
            </w:r>
            <w:r w:rsidRPr="00E85841">
              <w:rPr>
                <w:rFonts w:ascii="Arial" w:hAnsi="Arial" w:cs="Arial"/>
                <w:sz w:val="22"/>
                <w:szCs w:val="22"/>
              </w:rPr>
              <w:t xml:space="preserve"> importantes de la política (Índice de Marginación Municipal) es de medición quinquenal y no permite el seguimiento constante para la mejora continua.</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3. Los indicadores propios de la Política se encuentran dispersos en diversos sistemas de consulta lo cual impide un acceso ágil para su monitoreo.</w:t>
            </w:r>
          </w:p>
        </w:tc>
      </w:tr>
      <w:tr w:rsidR="000E1E6C" w:rsidRPr="00E85841" w:rsidTr="002F66C1">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2.2.4 Amenazas:</w:t>
            </w:r>
          </w:p>
        </w:tc>
      </w:tr>
      <w:tr w:rsidR="000E1E6C" w:rsidRPr="00E85841" w:rsidTr="002F66C1">
        <w:trPr>
          <w:trHeight w:val="285"/>
        </w:trPr>
        <w:tc>
          <w:tcPr>
            <w:tcW w:w="5000" w:type="pct"/>
            <w:tcBorders>
              <w:top w:val="nil"/>
              <w:left w:val="single" w:sz="4" w:space="0" w:color="auto"/>
              <w:bottom w:val="single" w:sz="4" w:space="0" w:color="auto"/>
              <w:right w:val="single" w:sz="4" w:space="0" w:color="000000"/>
            </w:tcBorders>
            <w:noWrap/>
            <w:vAlign w:val="bottom"/>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 las movilizaciones y conflictos originados por demandas político-sociales en el estado.</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3. El cambio de administración de gobierno estatal y la posible reestructuración de acciones que no permita el seguimiento de las buenas prácticas.</w:t>
            </w:r>
          </w:p>
        </w:tc>
      </w:tr>
    </w:tbl>
    <w:p w:rsidR="000E1E6C" w:rsidRPr="00E85841" w:rsidRDefault="000E1E6C" w:rsidP="000E1E6C">
      <w:pPr>
        <w:jc w:val="center"/>
        <w:rPr>
          <w:rFonts w:ascii="Arial" w:hAnsi="Arial" w:cs="Arial"/>
          <w:b/>
          <w:bCs/>
          <w:sz w:val="22"/>
          <w:szCs w:val="22"/>
        </w:rPr>
      </w:pPr>
    </w:p>
    <w:tbl>
      <w:tblPr>
        <w:tblW w:w="5013" w:type="pct"/>
        <w:tblCellMar>
          <w:left w:w="70" w:type="dxa"/>
          <w:right w:w="70" w:type="dxa"/>
        </w:tblCellMar>
        <w:tblLook w:val="04A0" w:firstRow="1" w:lastRow="0" w:firstColumn="1" w:lastColumn="0" w:noHBand="0" w:noVBand="1"/>
      </w:tblPr>
      <w:tblGrid>
        <w:gridCol w:w="8697"/>
        <w:gridCol w:w="159"/>
      </w:tblGrid>
      <w:tr w:rsidR="000E1E6C" w:rsidRPr="00E85841" w:rsidTr="000041B2">
        <w:trPr>
          <w:gridAfter w:val="1"/>
          <w:wAfter w:w="90" w:type="pct"/>
          <w:trHeight w:val="300"/>
        </w:trPr>
        <w:tc>
          <w:tcPr>
            <w:tcW w:w="4910" w:type="pct"/>
            <w:tcBorders>
              <w:top w:val="single" w:sz="4" w:space="0" w:color="auto"/>
              <w:left w:val="single" w:sz="4" w:space="0" w:color="auto"/>
              <w:bottom w:val="single" w:sz="4" w:space="0" w:color="auto"/>
              <w:right w:val="single" w:sz="4" w:space="0" w:color="auto"/>
            </w:tcBorders>
            <w:shd w:val="clear" w:color="auto" w:fill="808080"/>
            <w:noWrap/>
            <w:tcMar>
              <w:top w:w="15" w:type="dxa"/>
              <w:left w:w="70" w:type="dxa"/>
              <w:bottom w:w="0" w:type="dxa"/>
              <w:right w:w="70" w:type="dxa"/>
            </w:tcMar>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lastRenderedPageBreak/>
              <w:t>CONCLUSIONES Y RECOMENDACIONES DE LA EVALUACIÓN</w:t>
            </w:r>
          </w:p>
        </w:tc>
      </w:tr>
      <w:tr w:rsidR="000E1E6C" w:rsidRPr="00E85841" w:rsidTr="000041B2">
        <w:trPr>
          <w:gridAfter w:val="1"/>
          <w:wAfter w:w="90" w:type="pct"/>
          <w:trHeight w:val="285"/>
        </w:trPr>
        <w:tc>
          <w:tcPr>
            <w:tcW w:w="4910" w:type="pct"/>
            <w:tcBorders>
              <w:top w:val="single" w:sz="4" w:space="0" w:color="auto"/>
              <w:left w:val="single" w:sz="4" w:space="0" w:color="auto"/>
              <w:bottom w:val="nil"/>
              <w:right w:val="single" w:sz="4" w:space="0" w:color="000000"/>
            </w:tcBorders>
            <w:noWrap/>
            <w:tcMar>
              <w:top w:w="15" w:type="dxa"/>
              <w:left w:w="70" w:type="dxa"/>
              <w:bottom w:w="0" w:type="dxa"/>
              <w:right w:w="70" w:type="dxa"/>
            </w:tcMar>
            <w:vAlign w:val="bottom"/>
            <w:hideMark/>
          </w:tcPr>
          <w:p w:rsidR="000E1E6C" w:rsidRPr="00E85841" w:rsidRDefault="000E1E6C" w:rsidP="00AB0634">
            <w:pPr>
              <w:pStyle w:val="Prrafodelista"/>
              <w:numPr>
                <w:ilvl w:val="1"/>
                <w:numId w:val="4"/>
              </w:numPr>
              <w:spacing w:line="247" w:lineRule="auto"/>
              <w:jc w:val="both"/>
              <w:rPr>
                <w:rFonts w:ascii="Arial" w:hAnsi="Arial" w:cs="Arial"/>
                <w:b/>
                <w:bCs/>
                <w:sz w:val="22"/>
                <w:szCs w:val="22"/>
              </w:rPr>
            </w:pPr>
            <w:r w:rsidRPr="00E85841">
              <w:rPr>
                <w:rFonts w:ascii="Arial" w:hAnsi="Arial" w:cs="Arial"/>
                <w:b/>
                <w:bCs/>
                <w:sz w:val="22"/>
                <w:szCs w:val="22"/>
              </w:rPr>
              <w:t>Describir brevemente las conclusiones de la evaluación:</w:t>
            </w:r>
          </w:p>
          <w:p w:rsidR="00CF3CC6" w:rsidRPr="00E85841" w:rsidRDefault="00CF3CC6" w:rsidP="00CF3CC6">
            <w:pPr>
              <w:spacing w:line="247" w:lineRule="auto"/>
              <w:jc w:val="both"/>
              <w:rPr>
                <w:rFonts w:ascii="Arial" w:hAnsi="Arial" w:cs="Arial"/>
                <w:b/>
                <w:bCs/>
                <w:sz w:val="22"/>
                <w:szCs w:val="22"/>
              </w:rPr>
            </w:pPr>
          </w:p>
        </w:tc>
      </w:tr>
      <w:tr w:rsidR="000E1E6C" w:rsidRPr="00E85841" w:rsidTr="000041B2">
        <w:trPr>
          <w:gridAfter w:val="1"/>
          <w:wAfter w:w="90" w:type="pct"/>
          <w:trHeight w:val="1680"/>
        </w:trPr>
        <w:tc>
          <w:tcPr>
            <w:tcW w:w="4910" w:type="pct"/>
            <w:tcBorders>
              <w:top w:val="nil"/>
              <w:left w:val="single" w:sz="4" w:space="0" w:color="auto"/>
              <w:bottom w:val="single" w:sz="4" w:space="0" w:color="auto"/>
              <w:right w:val="single" w:sz="4" w:space="0" w:color="000000"/>
            </w:tcBorders>
            <w:tcMar>
              <w:top w:w="15" w:type="dxa"/>
              <w:left w:w="70" w:type="dxa"/>
              <w:bottom w:w="0" w:type="dxa"/>
              <w:right w:w="70" w:type="dxa"/>
            </w:tcMar>
            <w:vAlign w:val="bottom"/>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El result</w:t>
            </w:r>
            <w:r w:rsidR="00E44272" w:rsidRPr="00E85841">
              <w:rPr>
                <w:rFonts w:ascii="Arial" w:hAnsi="Arial" w:cs="Arial"/>
                <w:sz w:val="22"/>
                <w:szCs w:val="22"/>
              </w:rPr>
              <w:t>ado de la implementación de la P</w:t>
            </w:r>
            <w:r w:rsidRPr="00E85841">
              <w:rPr>
                <w:rFonts w:ascii="Arial" w:hAnsi="Arial" w:cs="Arial"/>
                <w:sz w:val="22"/>
                <w:szCs w:val="22"/>
              </w:rPr>
              <w:t xml:space="preserve">olítica ha sido favorable a pesar de contar con variables externas que dificultaron su implementación. Dentro de los hallazgos importantes es notable que a pesar de las eventualidades citadas, los indicadores de gestión reportados por el ente responsable de la Política muestran resultados positivos lo que sugiere que las labores referentes al tema de estudio de esta evaluación no se detuvieron posibilitando así el alcance de sus metas. </w:t>
            </w:r>
          </w:p>
          <w:p w:rsidR="00E44272" w:rsidRPr="00E85841" w:rsidRDefault="000E1E6C" w:rsidP="00E44272">
            <w:pPr>
              <w:spacing w:line="247" w:lineRule="auto"/>
              <w:jc w:val="both"/>
              <w:rPr>
                <w:rFonts w:ascii="Arial" w:hAnsi="Arial" w:cs="Arial"/>
                <w:sz w:val="22"/>
                <w:szCs w:val="22"/>
              </w:rPr>
            </w:pPr>
            <w:r w:rsidRPr="00E85841">
              <w:rPr>
                <w:rFonts w:ascii="Arial" w:hAnsi="Arial" w:cs="Arial"/>
                <w:sz w:val="22"/>
                <w:szCs w:val="22"/>
              </w:rPr>
              <w:t>La implementación de la Política de Fortalecimiento de la Planeación Municipal con Enfoque Sostenible ha sido eficaz, puesto que se ha producido el efecto deseado tal como lo muestra el Índice de Marginación en su dimensión municipal, para el cual se ha superado la meta planteada en el Plan Estratégico Sectorial Gobierno Moderno de disminuir el número de municipios con muy alto y alto grado de marginación para el año 2020 a 415 y obteniendo como resultado de las acciones implementadas por la Política la reducción a 326 municipios.</w:t>
            </w:r>
          </w:p>
          <w:p w:rsidR="00E44272" w:rsidRPr="00E85841" w:rsidRDefault="00E44272" w:rsidP="00E44272">
            <w:pPr>
              <w:spacing w:line="247" w:lineRule="auto"/>
              <w:jc w:val="both"/>
              <w:rPr>
                <w:rFonts w:ascii="Arial" w:hAnsi="Arial" w:cs="Arial"/>
                <w:sz w:val="22"/>
                <w:szCs w:val="22"/>
              </w:rPr>
            </w:pPr>
            <w:r w:rsidRPr="00E85841">
              <w:rPr>
                <w:rFonts w:ascii="Arial" w:hAnsi="Arial" w:cs="Arial"/>
                <w:sz w:val="22"/>
                <w:szCs w:val="22"/>
              </w:rPr>
              <w:t>Como resultado de</w:t>
            </w:r>
            <w:r w:rsidRPr="00E85841">
              <w:rPr>
                <w:rFonts w:ascii="Arial" w:hAnsi="Arial" w:cs="Arial"/>
                <w:sz w:val="22"/>
                <w:szCs w:val="22"/>
              </w:rPr>
              <w:t xml:space="preserve"> la evaluación a</w:t>
            </w:r>
            <w:r w:rsidRPr="00E85841">
              <w:rPr>
                <w:rFonts w:ascii="Arial" w:hAnsi="Arial" w:cs="Arial"/>
                <w:sz w:val="22"/>
                <w:szCs w:val="22"/>
              </w:rPr>
              <w:t xml:space="preserve"> la Política se obtuvo </w:t>
            </w:r>
            <w:r w:rsidRPr="00E85841">
              <w:rPr>
                <w:rFonts w:ascii="Arial" w:hAnsi="Arial" w:cs="Arial"/>
                <w:sz w:val="22"/>
                <w:szCs w:val="22"/>
              </w:rPr>
              <w:t xml:space="preserve">un total de 25 de los 26 puntos </w:t>
            </w:r>
            <w:r w:rsidRPr="00E85841">
              <w:rPr>
                <w:rFonts w:ascii="Arial" w:hAnsi="Arial" w:cs="Arial"/>
                <w:sz w:val="22"/>
                <w:szCs w:val="22"/>
              </w:rPr>
              <w:t>máximos, significando un nivel de cumplimiento del 96%.</w:t>
            </w:r>
          </w:p>
          <w:p w:rsidR="00E44272" w:rsidRPr="00E85841" w:rsidRDefault="00E44272" w:rsidP="00E44272">
            <w:pPr>
              <w:spacing w:line="247" w:lineRule="auto"/>
              <w:jc w:val="both"/>
              <w:rPr>
                <w:rFonts w:ascii="Arial" w:hAnsi="Arial" w:cs="Arial"/>
                <w:sz w:val="22"/>
                <w:szCs w:val="22"/>
              </w:rPr>
            </w:pPr>
          </w:p>
        </w:tc>
      </w:tr>
      <w:tr w:rsidR="000E1E6C" w:rsidRPr="00E85841" w:rsidTr="00CF3CC6">
        <w:trPr>
          <w:gridAfter w:val="1"/>
          <w:wAfter w:w="90" w:type="pct"/>
          <w:trHeight w:val="285"/>
        </w:trPr>
        <w:tc>
          <w:tcPr>
            <w:tcW w:w="4910" w:type="pct"/>
            <w:tcBorders>
              <w:top w:val="single" w:sz="4" w:space="0" w:color="auto"/>
              <w:left w:val="single" w:sz="4" w:space="0" w:color="auto"/>
              <w:bottom w:val="single" w:sz="4" w:space="0" w:color="auto"/>
              <w:right w:val="single" w:sz="4" w:space="0" w:color="000000"/>
            </w:tcBorders>
            <w:tcMar>
              <w:top w:w="15" w:type="dxa"/>
              <w:left w:w="70" w:type="dxa"/>
              <w:bottom w:w="0" w:type="dxa"/>
              <w:right w:w="70" w:type="dxa"/>
            </w:tcMar>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3.2 Describir las recomendaciones de acuerdo con su relevancia:</w:t>
            </w:r>
          </w:p>
        </w:tc>
      </w:tr>
      <w:tr w:rsidR="000E1E6C" w:rsidRPr="00E85841" w:rsidTr="00CF3CC6">
        <w:trPr>
          <w:gridAfter w:val="1"/>
          <w:wAfter w:w="90" w:type="pct"/>
          <w:trHeight w:val="289"/>
        </w:trPr>
        <w:tc>
          <w:tcPr>
            <w:tcW w:w="4910" w:type="pct"/>
            <w:vMerge w:val="restart"/>
            <w:tcBorders>
              <w:top w:val="single" w:sz="4" w:space="0" w:color="auto"/>
              <w:left w:val="single" w:sz="4" w:space="0" w:color="auto"/>
              <w:right w:val="single" w:sz="4" w:space="0" w:color="auto"/>
            </w:tcBorders>
            <w:tcMar>
              <w:top w:w="15" w:type="dxa"/>
              <w:left w:w="70" w:type="dxa"/>
              <w:bottom w:w="0" w:type="dxa"/>
              <w:right w:w="70" w:type="dxa"/>
            </w:tcMar>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 Reconstruir la teoría causal en el árbol de problemas para la causa “desconocimiento de lineamientos y normatividad para la realización de obra pública”.</w:t>
            </w:r>
          </w:p>
        </w:tc>
      </w:tr>
      <w:tr w:rsidR="000E1E6C" w:rsidRPr="00E85841" w:rsidTr="00CF3CC6">
        <w:trPr>
          <w:trHeight w:val="57"/>
        </w:trPr>
        <w:tc>
          <w:tcPr>
            <w:tcW w:w="4910" w:type="pct"/>
            <w:vMerge/>
            <w:tcBorders>
              <w:left w:val="single" w:sz="4" w:space="0" w:color="auto"/>
              <w:right w:val="single" w:sz="4" w:space="0" w:color="auto"/>
            </w:tcBorders>
            <w:vAlign w:val="center"/>
            <w:hideMark/>
          </w:tcPr>
          <w:p w:rsidR="000E1E6C" w:rsidRPr="00E85841" w:rsidRDefault="000E1E6C">
            <w:pPr>
              <w:spacing w:line="247" w:lineRule="auto"/>
              <w:jc w:val="both"/>
              <w:rPr>
                <w:rFonts w:ascii="Arial" w:hAnsi="Arial" w:cs="Arial"/>
                <w:sz w:val="22"/>
                <w:szCs w:val="22"/>
              </w:rPr>
            </w:pPr>
          </w:p>
        </w:tc>
        <w:tc>
          <w:tcPr>
            <w:tcW w:w="90" w:type="pct"/>
            <w:tcBorders>
              <w:left w:val="single" w:sz="4" w:space="0" w:color="auto"/>
            </w:tcBorders>
            <w:noWrap/>
            <w:tcMar>
              <w:top w:w="15" w:type="dxa"/>
              <w:left w:w="70" w:type="dxa"/>
              <w:bottom w:w="0" w:type="dxa"/>
              <w:right w:w="70" w:type="dxa"/>
            </w:tcMar>
            <w:vAlign w:val="bottom"/>
            <w:hideMark/>
          </w:tcPr>
          <w:p w:rsidR="000E1E6C" w:rsidRPr="00E85841" w:rsidRDefault="000E1E6C">
            <w:pPr>
              <w:rPr>
                <w:rFonts w:ascii="Arial" w:hAnsi="Arial" w:cs="Arial"/>
              </w:rPr>
            </w:pPr>
          </w:p>
        </w:tc>
      </w:tr>
      <w:tr w:rsidR="000E1E6C" w:rsidRPr="00E85841" w:rsidTr="00CF3CC6">
        <w:trPr>
          <w:trHeight w:val="57"/>
        </w:trPr>
        <w:tc>
          <w:tcPr>
            <w:tcW w:w="4910" w:type="pct"/>
            <w:vMerge w:val="restart"/>
            <w:tcBorders>
              <w:left w:val="single" w:sz="4" w:space="0" w:color="auto"/>
              <w:right w:val="single" w:sz="4" w:space="0" w:color="auto"/>
            </w:tcBorders>
            <w:tcMar>
              <w:top w:w="15" w:type="dxa"/>
              <w:left w:w="70" w:type="dxa"/>
              <w:bottom w:w="0" w:type="dxa"/>
              <w:right w:w="70" w:type="dxa"/>
            </w:tcMar>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2: Incluir indicadores referentes al enfoque sostenible como parte de la medición del desempeño.</w:t>
            </w:r>
          </w:p>
        </w:tc>
        <w:tc>
          <w:tcPr>
            <w:tcW w:w="90" w:type="pct"/>
            <w:tcBorders>
              <w:left w:val="single" w:sz="4" w:space="0" w:color="auto"/>
            </w:tcBorders>
            <w:tcMar>
              <w:top w:w="15" w:type="dxa"/>
              <w:left w:w="70" w:type="dxa"/>
              <w:bottom w:w="0" w:type="dxa"/>
              <w:right w:w="70" w:type="dxa"/>
            </w:tcMar>
            <w:vAlign w:val="center"/>
            <w:hideMark/>
          </w:tcPr>
          <w:p w:rsidR="000E1E6C" w:rsidRPr="00E85841" w:rsidRDefault="000E1E6C">
            <w:pPr>
              <w:rPr>
                <w:rFonts w:ascii="Arial" w:hAnsi="Arial" w:cs="Arial"/>
                <w:sz w:val="22"/>
                <w:szCs w:val="22"/>
              </w:rPr>
            </w:pPr>
          </w:p>
        </w:tc>
      </w:tr>
      <w:tr w:rsidR="000E1E6C" w:rsidRPr="00E85841" w:rsidTr="00CF3CC6">
        <w:trPr>
          <w:trHeight w:val="57"/>
        </w:trPr>
        <w:tc>
          <w:tcPr>
            <w:tcW w:w="4910" w:type="pct"/>
            <w:vMerge/>
            <w:tcBorders>
              <w:left w:val="single" w:sz="4" w:space="0" w:color="auto"/>
              <w:right w:val="single" w:sz="4" w:space="0" w:color="auto"/>
            </w:tcBorders>
            <w:vAlign w:val="center"/>
            <w:hideMark/>
          </w:tcPr>
          <w:p w:rsidR="000E1E6C" w:rsidRPr="00E85841" w:rsidRDefault="000E1E6C">
            <w:pPr>
              <w:spacing w:line="247" w:lineRule="auto"/>
              <w:jc w:val="both"/>
              <w:rPr>
                <w:rFonts w:ascii="Arial" w:hAnsi="Arial" w:cs="Arial"/>
                <w:sz w:val="22"/>
                <w:szCs w:val="22"/>
              </w:rPr>
            </w:pPr>
          </w:p>
        </w:tc>
        <w:tc>
          <w:tcPr>
            <w:tcW w:w="90" w:type="pct"/>
            <w:tcBorders>
              <w:left w:val="single" w:sz="4" w:space="0" w:color="auto"/>
            </w:tcBorders>
            <w:noWrap/>
            <w:tcMar>
              <w:top w:w="15" w:type="dxa"/>
              <w:left w:w="70" w:type="dxa"/>
              <w:bottom w:w="0" w:type="dxa"/>
              <w:right w:w="70" w:type="dxa"/>
            </w:tcMar>
            <w:vAlign w:val="bottom"/>
            <w:hideMark/>
          </w:tcPr>
          <w:p w:rsidR="000E1E6C" w:rsidRPr="00E85841" w:rsidRDefault="000E1E6C">
            <w:pPr>
              <w:spacing w:line="247" w:lineRule="auto"/>
              <w:jc w:val="both"/>
              <w:rPr>
                <w:rFonts w:ascii="Arial" w:eastAsia="Arial" w:hAnsi="Arial" w:cs="Arial"/>
                <w:sz w:val="20"/>
                <w:szCs w:val="20"/>
              </w:rPr>
            </w:pPr>
          </w:p>
        </w:tc>
      </w:tr>
      <w:tr w:rsidR="000E1E6C" w:rsidRPr="00E85841" w:rsidTr="00CF3CC6">
        <w:trPr>
          <w:trHeight w:val="57"/>
        </w:trPr>
        <w:tc>
          <w:tcPr>
            <w:tcW w:w="4910" w:type="pct"/>
            <w:vMerge w:val="restart"/>
            <w:tcBorders>
              <w:left w:val="single" w:sz="4" w:space="0" w:color="auto"/>
              <w:right w:val="single" w:sz="4" w:space="0" w:color="auto"/>
            </w:tcBorders>
            <w:tcMar>
              <w:top w:w="15" w:type="dxa"/>
              <w:left w:w="70" w:type="dxa"/>
              <w:bottom w:w="0" w:type="dxa"/>
              <w:right w:w="70" w:type="dxa"/>
            </w:tcMar>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3: Integrar en el SISPLADE un apartado que contenga las atribuciones principales de los actores involucrados en la Política así como una forma de contacto.</w:t>
            </w:r>
          </w:p>
        </w:tc>
        <w:tc>
          <w:tcPr>
            <w:tcW w:w="90" w:type="pct"/>
            <w:tcBorders>
              <w:left w:val="single" w:sz="4" w:space="0" w:color="auto"/>
            </w:tcBorders>
            <w:tcMar>
              <w:top w:w="15" w:type="dxa"/>
              <w:left w:w="70" w:type="dxa"/>
              <w:bottom w:w="0" w:type="dxa"/>
              <w:right w:w="70" w:type="dxa"/>
            </w:tcMar>
            <w:vAlign w:val="center"/>
            <w:hideMark/>
          </w:tcPr>
          <w:p w:rsidR="000E1E6C" w:rsidRPr="00E85841" w:rsidRDefault="000E1E6C">
            <w:pPr>
              <w:rPr>
                <w:rFonts w:ascii="Arial" w:hAnsi="Arial" w:cs="Arial"/>
                <w:sz w:val="22"/>
                <w:szCs w:val="22"/>
              </w:rPr>
            </w:pPr>
          </w:p>
        </w:tc>
      </w:tr>
      <w:tr w:rsidR="000E1E6C" w:rsidRPr="00E85841" w:rsidTr="00CF3CC6">
        <w:trPr>
          <w:trHeight w:val="57"/>
        </w:trPr>
        <w:tc>
          <w:tcPr>
            <w:tcW w:w="4910" w:type="pct"/>
            <w:vMerge/>
            <w:tcBorders>
              <w:left w:val="single" w:sz="4" w:space="0" w:color="auto"/>
              <w:right w:val="single" w:sz="4" w:space="0" w:color="auto"/>
            </w:tcBorders>
            <w:vAlign w:val="center"/>
            <w:hideMark/>
          </w:tcPr>
          <w:p w:rsidR="000E1E6C" w:rsidRPr="00E85841" w:rsidRDefault="000E1E6C">
            <w:pPr>
              <w:spacing w:line="247" w:lineRule="auto"/>
              <w:jc w:val="both"/>
              <w:rPr>
                <w:rFonts w:ascii="Arial" w:hAnsi="Arial" w:cs="Arial"/>
                <w:sz w:val="22"/>
                <w:szCs w:val="22"/>
              </w:rPr>
            </w:pPr>
          </w:p>
        </w:tc>
        <w:tc>
          <w:tcPr>
            <w:tcW w:w="90" w:type="pct"/>
            <w:tcBorders>
              <w:left w:val="single" w:sz="4" w:space="0" w:color="auto"/>
            </w:tcBorders>
            <w:noWrap/>
            <w:tcMar>
              <w:top w:w="15" w:type="dxa"/>
              <w:left w:w="70" w:type="dxa"/>
              <w:bottom w:w="0" w:type="dxa"/>
              <w:right w:w="70" w:type="dxa"/>
            </w:tcMar>
            <w:vAlign w:val="bottom"/>
            <w:hideMark/>
          </w:tcPr>
          <w:p w:rsidR="000E1E6C" w:rsidRPr="00E85841" w:rsidRDefault="000E1E6C">
            <w:pPr>
              <w:spacing w:line="247" w:lineRule="auto"/>
              <w:jc w:val="both"/>
              <w:rPr>
                <w:rFonts w:ascii="Arial" w:eastAsia="Arial" w:hAnsi="Arial" w:cs="Arial"/>
                <w:sz w:val="20"/>
                <w:szCs w:val="20"/>
              </w:rPr>
            </w:pPr>
          </w:p>
        </w:tc>
      </w:tr>
      <w:tr w:rsidR="000E1E6C" w:rsidRPr="00E85841" w:rsidTr="00CF3CC6">
        <w:trPr>
          <w:trHeight w:val="57"/>
        </w:trPr>
        <w:tc>
          <w:tcPr>
            <w:tcW w:w="4910" w:type="pct"/>
            <w:vMerge w:val="restart"/>
            <w:tcBorders>
              <w:left w:val="single" w:sz="4" w:space="0" w:color="auto"/>
              <w:right w:val="single" w:sz="4" w:space="0" w:color="auto"/>
            </w:tcBorders>
            <w:tcMar>
              <w:top w:w="15" w:type="dxa"/>
              <w:left w:w="70" w:type="dxa"/>
              <w:bottom w:w="0" w:type="dxa"/>
              <w:right w:w="70" w:type="dxa"/>
            </w:tcMar>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4: Asegurarse que todos los documentos oficiales que se generen cuenten con año de emisión.</w:t>
            </w:r>
          </w:p>
        </w:tc>
        <w:tc>
          <w:tcPr>
            <w:tcW w:w="90" w:type="pct"/>
            <w:tcBorders>
              <w:left w:val="single" w:sz="4" w:space="0" w:color="auto"/>
            </w:tcBorders>
            <w:tcMar>
              <w:top w:w="15" w:type="dxa"/>
              <w:left w:w="70" w:type="dxa"/>
              <w:bottom w:w="0" w:type="dxa"/>
              <w:right w:w="70" w:type="dxa"/>
            </w:tcMar>
            <w:vAlign w:val="center"/>
            <w:hideMark/>
          </w:tcPr>
          <w:p w:rsidR="000E1E6C" w:rsidRPr="00E85841" w:rsidRDefault="000E1E6C">
            <w:pPr>
              <w:rPr>
                <w:rFonts w:ascii="Arial" w:hAnsi="Arial" w:cs="Arial"/>
                <w:sz w:val="22"/>
                <w:szCs w:val="22"/>
              </w:rPr>
            </w:pPr>
          </w:p>
        </w:tc>
      </w:tr>
      <w:tr w:rsidR="000E1E6C" w:rsidRPr="00E85841" w:rsidTr="00CF3CC6">
        <w:trPr>
          <w:trHeight w:val="57"/>
        </w:trPr>
        <w:tc>
          <w:tcPr>
            <w:tcW w:w="4910" w:type="pct"/>
            <w:vMerge/>
            <w:tcBorders>
              <w:left w:val="single" w:sz="4" w:space="0" w:color="auto"/>
              <w:right w:val="single" w:sz="4" w:space="0" w:color="auto"/>
            </w:tcBorders>
            <w:vAlign w:val="center"/>
            <w:hideMark/>
          </w:tcPr>
          <w:p w:rsidR="000E1E6C" w:rsidRPr="00E85841" w:rsidRDefault="000E1E6C">
            <w:pPr>
              <w:spacing w:line="247" w:lineRule="auto"/>
              <w:jc w:val="both"/>
              <w:rPr>
                <w:rFonts w:ascii="Arial" w:hAnsi="Arial" w:cs="Arial"/>
                <w:sz w:val="22"/>
                <w:szCs w:val="22"/>
              </w:rPr>
            </w:pPr>
          </w:p>
        </w:tc>
        <w:tc>
          <w:tcPr>
            <w:tcW w:w="90" w:type="pct"/>
            <w:tcBorders>
              <w:left w:val="single" w:sz="4" w:space="0" w:color="auto"/>
            </w:tcBorders>
            <w:noWrap/>
            <w:tcMar>
              <w:top w:w="15" w:type="dxa"/>
              <w:left w:w="70" w:type="dxa"/>
              <w:bottom w:w="0" w:type="dxa"/>
              <w:right w:w="70" w:type="dxa"/>
            </w:tcMar>
            <w:vAlign w:val="bottom"/>
            <w:hideMark/>
          </w:tcPr>
          <w:p w:rsidR="000E1E6C" w:rsidRPr="00E85841" w:rsidRDefault="000E1E6C">
            <w:pPr>
              <w:spacing w:line="247" w:lineRule="auto"/>
              <w:jc w:val="both"/>
              <w:rPr>
                <w:rFonts w:ascii="Arial" w:eastAsia="Arial" w:hAnsi="Arial" w:cs="Arial"/>
                <w:sz w:val="20"/>
                <w:szCs w:val="20"/>
              </w:rPr>
            </w:pPr>
          </w:p>
        </w:tc>
      </w:tr>
      <w:tr w:rsidR="000E1E6C" w:rsidRPr="00E85841" w:rsidTr="00CF3CC6">
        <w:trPr>
          <w:trHeight w:val="57"/>
        </w:trPr>
        <w:tc>
          <w:tcPr>
            <w:tcW w:w="4910" w:type="pct"/>
            <w:tcBorders>
              <w:left w:val="single" w:sz="4" w:space="0" w:color="auto"/>
              <w:bottom w:val="single" w:sz="4" w:space="0" w:color="auto"/>
              <w:right w:val="single" w:sz="4" w:space="0" w:color="auto"/>
            </w:tcBorders>
            <w:tcMar>
              <w:top w:w="15" w:type="dxa"/>
              <w:left w:w="70" w:type="dxa"/>
              <w:bottom w:w="0" w:type="dxa"/>
              <w:right w:w="70" w:type="dxa"/>
            </w:tcMar>
            <w:vAlign w:val="center"/>
            <w:hideMark/>
          </w:tcPr>
          <w:p w:rsidR="000E1E6C" w:rsidRDefault="000E1E6C">
            <w:pPr>
              <w:spacing w:line="247" w:lineRule="auto"/>
              <w:jc w:val="both"/>
              <w:rPr>
                <w:rFonts w:ascii="Arial" w:hAnsi="Arial" w:cs="Arial"/>
                <w:sz w:val="22"/>
                <w:szCs w:val="22"/>
              </w:rPr>
            </w:pPr>
            <w:r w:rsidRPr="00E85841">
              <w:rPr>
                <w:rFonts w:ascii="Arial" w:hAnsi="Arial" w:cs="Arial"/>
                <w:sz w:val="22"/>
                <w:szCs w:val="22"/>
              </w:rPr>
              <w:t>5: Integrar al SISPLADE un apartado que contenga todos los indicadores de la Política para agilizar su seguimiento.</w:t>
            </w:r>
          </w:p>
          <w:p w:rsidR="00E85841" w:rsidRPr="00E85841" w:rsidRDefault="00E85841">
            <w:pPr>
              <w:spacing w:line="247" w:lineRule="auto"/>
              <w:jc w:val="both"/>
              <w:rPr>
                <w:rFonts w:ascii="Arial" w:hAnsi="Arial" w:cs="Arial"/>
                <w:sz w:val="22"/>
                <w:szCs w:val="22"/>
              </w:rPr>
            </w:pPr>
          </w:p>
        </w:tc>
        <w:tc>
          <w:tcPr>
            <w:tcW w:w="90" w:type="pct"/>
            <w:tcBorders>
              <w:left w:val="single" w:sz="4" w:space="0" w:color="auto"/>
            </w:tcBorders>
            <w:noWrap/>
            <w:tcMar>
              <w:top w:w="15" w:type="dxa"/>
              <w:left w:w="70" w:type="dxa"/>
              <w:bottom w:w="0" w:type="dxa"/>
              <w:right w:w="70" w:type="dxa"/>
            </w:tcMar>
            <w:vAlign w:val="bottom"/>
          </w:tcPr>
          <w:p w:rsidR="000E1E6C" w:rsidRPr="00E85841" w:rsidRDefault="000E1E6C">
            <w:pPr>
              <w:spacing w:line="247" w:lineRule="auto"/>
              <w:jc w:val="both"/>
              <w:rPr>
                <w:rFonts w:ascii="Arial" w:hAnsi="Arial" w:cs="Arial"/>
                <w:sz w:val="22"/>
                <w:szCs w:val="22"/>
              </w:rPr>
            </w:pPr>
          </w:p>
        </w:tc>
      </w:tr>
    </w:tbl>
    <w:p w:rsidR="000E1E6C" w:rsidRPr="00E85841" w:rsidRDefault="000E1E6C" w:rsidP="000E1E6C">
      <w:pPr>
        <w:jc w:val="center"/>
        <w:rPr>
          <w:rFonts w:ascii="Arial" w:hAnsi="Arial" w:cs="Arial"/>
          <w:b/>
          <w:bCs/>
          <w:sz w:val="22"/>
          <w:szCs w:val="22"/>
        </w:rPr>
      </w:pPr>
    </w:p>
    <w:tbl>
      <w:tblPr>
        <w:tblW w:w="4975" w:type="pct"/>
        <w:tblCellMar>
          <w:left w:w="70" w:type="dxa"/>
          <w:right w:w="70" w:type="dxa"/>
        </w:tblCellMar>
        <w:tblLook w:val="04A0" w:firstRow="1" w:lastRow="0" w:firstColumn="1" w:lastColumn="0" w:noHBand="0" w:noVBand="1"/>
      </w:tblPr>
      <w:tblGrid>
        <w:gridCol w:w="8784"/>
      </w:tblGrid>
      <w:tr w:rsidR="000E1E6C" w:rsidRPr="00E85841" w:rsidTr="000041B2">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t>DATOS DE LA INSTANCIA EVALUADORA EXTERNA</w:t>
            </w:r>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4.1 Nombre del coordinador de la evaluación:</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Mtro. </w:t>
            </w:r>
            <w:proofErr w:type="spellStart"/>
            <w:r w:rsidRPr="00E85841">
              <w:rPr>
                <w:rFonts w:ascii="Arial" w:hAnsi="Arial" w:cs="Arial"/>
                <w:sz w:val="22"/>
                <w:szCs w:val="22"/>
              </w:rPr>
              <w:t>Ivan</w:t>
            </w:r>
            <w:proofErr w:type="spellEnd"/>
            <w:r w:rsidRPr="00E85841">
              <w:rPr>
                <w:rFonts w:ascii="Arial" w:hAnsi="Arial" w:cs="Arial"/>
                <w:sz w:val="22"/>
                <w:szCs w:val="22"/>
              </w:rPr>
              <w:t xml:space="preserve"> Reyes Parra</w:t>
            </w:r>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4.2 Cargo:</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Coordinador de evaluación</w:t>
            </w:r>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4.3 Institución a la que pertenece:</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Servicios Especializados ZAPIEN, S.A. de C.V.</w:t>
            </w:r>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4.4 Principales colaboradores:</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Mtra. </w:t>
            </w:r>
            <w:proofErr w:type="spellStart"/>
            <w:r w:rsidRPr="00E85841">
              <w:rPr>
                <w:rFonts w:ascii="Arial" w:hAnsi="Arial" w:cs="Arial"/>
                <w:sz w:val="22"/>
                <w:szCs w:val="22"/>
              </w:rPr>
              <w:t>Jeanette</w:t>
            </w:r>
            <w:proofErr w:type="spellEnd"/>
            <w:r w:rsidRPr="00E85841">
              <w:rPr>
                <w:rFonts w:ascii="Arial" w:hAnsi="Arial" w:cs="Arial"/>
                <w:sz w:val="22"/>
                <w:szCs w:val="22"/>
              </w:rPr>
              <w:t xml:space="preserve"> Alcaraz Romero</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Dr. José Israel Briseño </w:t>
            </w:r>
            <w:proofErr w:type="spellStart"/>
            <w:r w:rsidRPr="00E85841">
              <w:rPr>
                <w:rFonts w:ascii="Arial" w:hAnsi="Arial" w:cs="Arial"/>
                <w:sz w:val="22"/>
                <w:szCs w:val="22"/>
              </w:rPr>
              <w:t>Perezyera</w:t>
            </w:r>
            <w:proofErr w:type="spellEnd"/>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4.5 Correo electrónico del coordinador de la evaluación:</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rPr>
            </w:pPr>
            <w:r w:rsidRPr="00E85841">
              <w:rPr>
                <w:rFonts w:ascii="Arial" w:hAnsi="Arial" w:cs="Arial"/>
              </w:rPr>
              <w:t>zapienoaxaca@gmail.com</w:t>
            </w:r>
          </w:p>
        </w:tc>
      </w:tr>
      <w:tr w:rsidR="000E1E6C" w:rsidRPr="00E85841" w:rsidTr="000041B2">
        <w:trPr>
          <w:trHeight w:val="285"/>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4.6 Teléfono (con clave lada):</w:t>
            </w:r>
          </w:p>
        </w:tc>
      </w:tr>
      <w:tr w:rsidR="000E1E6C" w:rsidRPr="00E85841" w:rsidTr="000041B2">
        <w:trPr>
          <w:trHeight w:val="285"/>
        </w:trPr>
        <w:tc>
          <w:tcPr>
            <w:tcW w:w="5000" w:type="pct"/>
            <w:tcBorders>
              <w:top w:val="nil"/>
              <w:left w:val="single" w:sz="4" w:space="0" w:color="auto"/>
              <w:bottom w:val="single" w:sz="4" w:space="0" w:color="auto"/>
              <w:right w:val="single" w:sz="4" w:space="0" w:color="000000"/>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951 134 35 52</w:t>
            </w:r>
          </w:p>
        </w:tc>
      </w:tr>
    </w:tbl>
    <w:p w:rsidR="000E1E6C" w:rsidRPr="00E85841" w:rsidRDefault="000E1E6C" w:rsidP="000E1E6C">
      <w:pPr>
        <w:jc w:val="center"/>
        <w:rPr>
          <w:rFonts w:ascii="Arial" w:hAnsi="Arial" w:cs="Arial"/>
          <w:b/>
          <w:bCs/>
          <w:sz w:val="22"/>
          <w:szCs w:val="22"/>
        </w:rPr>
      </w:pPr>
    </w:p>
    <w:tbl>
      <w:tblPr>
        <w:tblW w:w="5000" w:type="pct"/>
        <w:tblLayout w:type="fixed"/>
        <w:tblCellMar>
          <w:left w:w="70" w:type="dxa"/>
          <w:right w:w="70" w:type="dxa"/>
        </w:tblCellMar>
        <w:tblLook w:val="04A0" w:firstRow="1" w:lastRow="0" w:firstColumn="1" w:lastColumn="0" w:noHBand="0" w:noVBand="1"/>
      </w:tblPr>
      <w:tblGrid>
        <w:gridCol w:w="3256"/>
        <w:gridCol w:w="5572"/>
      </w:tblGrid>
      <w:tr w:rsidR="000E1E6C" w:rsidRPr="00E85841" w:rsidTr="000041B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lastRenderedPageBreak/>
              <w:t>IDENTIFICACIÓN DE LOS PROGRAMAS DE LA POLÍTICA</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5.1 Nombre del (los) programa(s) evaluado(s) como parte de la Estrategia:</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148. Eficiencia del Gasto para Resultados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166. Desarrollo y Fortalecimiento de las Capacidades de los Municipios</w:t>
            </w:r>
          </w:p>
        </w:tc>
      </w:tr>
      <w:tr w:rsidR="000E1E6C" w:rsidRPr="00E85841" w:rsidTr="000041B2">
        <w:trPr>
          <w:trHeight w:val="285"/>
        </w:trPr>
        <w:tc>
          <w:tcPr>
            <w:tcW w:w="5000" w:type="pct"/>
            <w:gridSpan w:val="2"/>
            <w:tcBorders>
              <w:top w:val="single" w:sz="4" w:space="0" w:color="auto"/>
              <w:left w:val="single" w:sz="4" w:space="0" w:color="auto"/>
              <w:bottom w:val="single" w:sz="4" w:space="0" w:color="auto"/>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5.2 Siglas:</w:t>
            </w:r>
          </w:p>
        </w:tc>
      </w:tr>
      <w:tr w:rsidR="000E1E6C" w:rsidRPr="00E85841" w:rsidTr="000041B2">
        <w:trPr>
          <w:trHeight w:val="285"/>
        </w:trPr>
        <w:tc>
          <w:tcPr>
            <w:tcW w:w="5000" w:type="pct"/>
            <w:gridSpan w:val="2"/>
            <w:tcBorders>
              <w:top w:val="single" w:sz="4" w:space="0" w:color="auto"/>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148. Eficiencia del Gasto para Resultados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166. Desarrollo y Fortalecimiento de las Capacidades de los Municipios</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b/>
                <w:bCs/>
                <w:sz w:val="22"/>
                <w:szCs w:val="22"/>
              </w:rPr>
              <w:t>5.3 Ente público coordinador del (los) programa(s):</w:t>
            </w:r>
            <w:r w:rsidRPr="00E85841">
              <w:rPr>
                <w:rFonts w:ascii="Arial" w:hAnsi="Arial" w:cs="Arial"/>
                <w:sz w:val="22"/>
                <w:szCs w:val="22"/>
              </w:rPr>
              <w:t xml:space="preserve"> </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Coordinación General del Comité Estatal de Planeación para el Desarrollo de Oaxaca.</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5.4 Poder público al que pertenece(n) el(los) programa(s):</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Poder </w:t>
            </w:r>
            <w:proofErr w:type="spellStart"/>
            <w:r w:rsidRPr="00E85841">
              <w:rPr>
                <w:rFonts w:ascii="Arial" w:hAnsi="Arial" w:cs="Arial"/>
                <w:sz w:val="22"/>
                <w:szCs w:val="22"/>
              </w:rPr>
              <w:t>Ejecutivo_X</w:t>
            </w:r>
            <w:proofErr w:type="spellEnd"/>
            <w:r w:rsidRPr="00E85841">
              <w:rPr>
                <w:rFonts w:ascii="Arial" w:hAnsi="Arial" w:cs="Arial"/>
                <w:sz w:val="22"/>
                <w:szCs w:val="22"/>
              </w:rPr>
              <w:t>_ Poder Legislativo__ Poder Judicial__ Ente Autónomo___</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5.5 Ámbito gubernamental al que pertenece(n) el(los) programa(s):</w:t>
            </w:r>
          </w:p>
        </w:tc>
      </w:tr>
      <w:tr w:rsidR="000E1E6C" w:rsidRPr="00E85841" w:rsidTr="000041B2">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xml:space="preserve">Federal__ </w:t>
            </w:r>
            <w:proofErr w:type="spellStart"/>
            <w:r w:rsidRPr="00E85841">
              <w:rPr>
                <w:rFonts w:ascii="Arial" w:hAnsi="Arial" w:cs="Arial"/>
                <w:sz w:val="22"/>
                <w:szCs w:val="22"/>
              </w:rPr>
              <w:t>Estatal_</w:t>
            </w:r>
            <w:r w:rsidRPr="00E85841">
              <w:rPr>
                <w:rFonts w:ascii="Arial" w:hAnsi="Arial" w:cs="Arial"/>
                <w:sz w:val="22"/>
                <w:szCs w:val="22"/>
                <w:u w:val="single"/>
              </w:rPr>
              <w:t>X</w:t>
            </w:r>
            <w:proofErr w:type="spellEnd"/>
            <w:r w:rsidRPr="00E85841">
              <w:rPr>
                <w:rFonts w:ascii="Arial" w:hAnsi="Arial" w:cs="Arial"/>
                <w:sz w:val="22"/>
                <w:szCs w:val="22"/>
              </w:rPr>
              <w:t>_  Local__</w:t>
            </w:r>
          </w:p>
        </w:tc>
      </w:tr>
      <w:tr w:rsidR="000E1E6C" w:rsidRPr="00E85841" w:rsidTr="000041B2">
        <w:trPr>
          <w:trHeight w:val="675"/>
        </w:trPr>
        <w:tc>
          <w:tcPr>
            <w:tcW w:w="5000" w:type="pct"/>
            <w:gridSpan w:val="2"/>
            <w:tcBorders>
              <w:top w:val="single" w:sz="4" w:space="0" w:color="auto"/>
              <w:left w:val="single" w:sz="4" w:space="0" w:color="auto"/>
              <w:bottom w:val="nil"/>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5.6 Nombre de la(s) unidad(es) administrativa(s) y de (los) titular(es) a cargo del (los)</w:t>
            </w:r>
            <w:r w:rsidRPr="00E85841">
              <w:rPr>
                <w:rFonts w:ascii="Arial" w:hAnsi="Arial" w:cs="Arial"/>
                <w:b/>
                <w:bCs/>
                <w:sz w:val="22"/>
                <w:szCs w:val="22"/>
              </w:rPr>
              <w:br/>
              <w:t>programa(s):</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5.6.1 Nombre(s) de la(s) unidad(es) administrativa(s) a cargo de (los) programa(s):</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Coordinación General del Comité Estatal de Planeación para el Desarrollo de Oaxaca.</w:t>
            </w:r>
          </w:p>
        </w:tc>
      </w:tr>
      <w:tr w:rsidR="000E1E6C" w:rsidRPr="00E85841" w:rsidTr="00E85841">
        <w:trPr>
          <w:trHeight w:val="585"/>
        </w:trPr>
        <w:tc>
          <w:tcPr>
            <w:tcW w:w="5000" w:type="pct"/>
            <w:gridSpan w:val="2"/>
            <w:tcBorders>
              <w:top w:val="single" w:sz="4" w:space="0" w:color="auto"/>
              <w:left w:val="single" w:sz="4" w:space="0" w:color="auto"/>
              <w:bottom w:val="single" w:sz="4" w:space="0" w:color="auto"/>
              <w:right w:val="single" w:sz="4" w:space="0" w:color="000000"/>
            </w:tcBorders>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5.6.2 Nombre(s) de (los) titular(es) de la(s) unidad(es) administrativa(s) a cargo de (los)</w:t>
            </w:r>
            <w:r w:rsidRPr="00E85841">
              <w:rPr>
                <w:rFonts w:ascii="Arial" w:hAnsi="Arial" w:cs="Arial"/>
                <w:b/>
                <w:bCs/>
                <w:sz w:val="22"/>
                <w:szCs w:val="22"/>
              </w:rPr>
              <w:br/>
              <w:t>programa(s) (nombre completo, correo electrónico y teléfono con clave lada):</w:t>
            </w:r>
          </w:p>
        </w:tc>
      </w:tr>
      <w:tr w:rsidR="000E1E6C" w:rsidRPr="00E85841" w:rsidTr="00E85841">
        <w:trPr>
          <w:trHeight w:val="808"/>
        </w:trPr>
        <w:tc>
          <w:tcPr>
            <w:tcW w:w="1844" w:type="pct"/>
            <w:tcBorders>
              <w:top w:val="single" w:sz="4" w:space="0" w:color="auto"/>
              <w:left w:val="single" w:sz="4" w:space="0" w:color="auto"/>
              <w:bottom w:val="single" w:sz="4" w:space="0" w:color="auto"/>
              <w:right w:val="nil"/>
            </w:tcBorders>
            <w:noWrap/>
            <w:vAlign w:val="bottom"/>
            <w:hideMark/>
          </w:tcPr>
          <w:p w:rsidR="000E1E6C" w:rsidRPr="00E85841" w:rsidRDefault="000E1E6C">
            <w:pPr>
              <w:spacing w:line="247" w:lineRule="auto"/>
              <w:jc w:val="both"/>
              <w:rPr>
                <w:rFonts w:ascii="Arial" w:hAnsi="Arial" w:cs="Arial"/>
                <w:b/>
                <w:bCs/>
                <w:sz w:val="22"/>
                <w:szCs w:val="22"/>
                <w:lang w:val="pt-BR"/>
              </w:rPr>
            </w:pPr>
            <w:r w:rsidRPr="00E85841">
              <w:rPr>
                <w:rFonts w:ascii="Arial" w:hAnsi="Arial" w:cs="Arial"/>
                <w:b/>
                <w:bCs/>
                <w:sz w:val="22"/>
                <w:szCs w:val="22"/>
                <w:lang w:val="es-ES"/>
              </w:rPr>
              <w:t>Nombre</w:t>
            </w:r>
            <w:r w:rsidRPr="00E85841">
              <w:rPr>
                <w:rFonts w:ascii="Arial" w:hAnsi="Arial" w:cs="Arial"/>
                <w:b/>
                <w:bCs/>
                <w:sz w:val="22"/>
                <w:szCs w:val="22"/>
                <w:lang w:val="pt-BR"/>
              </w:rPr>
              <w:t>:</w:t>
            </w:r>
          </w:p>
          <w:p w:rsidR="000E1E6C" w:rsidRPr="00E85841" w:rsidRDefault="000E1E6C">
            <w:pPr>
              <w:spacing w:line="247" w:lineRule="auto"/>
              <w:jc w:val="both"/>
              <w:rPr>
                <w:rFonts w:ascii="Arial" w:hAnsi="Arial" w:cs="Arial"/>
                <w:sz w:val="22"/>
                <w:szCs w:val="22"/>
                <w:lang w:val="pt-BR"/>
              </w:rPr>
            </w:pPr>
            <w:r w:rsidRPr="00E85841">
              <w:rPr>
                <w:rFonts w:ascii="Arial" w:hAnsi="Arial" w:cs="Arial"/>
                <w:sz w:val="22"/>
                <w:szCs w:val="22"/>
                <w:lang w:val="pt-BR"/>
              </w:rPr>
              <w:t xml:space="preserve">Jorge Toledo </w:t>
            </w:r>
            <w:proofErr w:type="spellStart"/>
            <w:r w:rsidRPr="00E85841">
              <w:rPr>
                <w:rFonts w:ascii="Arial" w:hAnsi="Arial" w:cs="Arial"/>
                <w:sz w:val="22"/>
                <w:szCs w:val="22"/>
                <w:lang w:val="pt-BR"/>
              </w:rPr>
              <w:t>Luis</w:t>
            </w:r>
            <w:proofErr w:type="spellEnd"/>
          </w:p>
          <w:p w:rsidR="000E1E6C" w:rsidRPr="00E85841" w:rsidRDefault="000E1E6C">
            <w:pPr>
              <w:spacing w:line="247" w:lineRule="auto"/>
              <w:jc w:val="both"/>
              <w:rPr>
                <w:rFonts w:ascii="Arial" w:hAnsi="Arial" w:cs="Arial"/>
                <w:sz w:val="22"/>
                <w:szCs w:val="22"/>
                <w:lang w:val="pt-BR"/>
              </w:rPr>
            </w:pPr>
            <w:r w:rsidRPr="00E85841">
              <w:rPr>
                <w:rFonts w:ascii="Arial" w:hAnsi="Arial" w:cs="Arial"/>
                <w:sz w:val="22"/>
                <w:szCs w:val="22"/>
                <w:lang w:val="pt-BR"/>
              </w:rPr>
              <w:t>jorge.toledol@oaxaca.gob.mx</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9515016900</w:t>
            </w:r>
          </w:p>
        </w:tc>
        <w:tc>
          <w:tcPr>
            <w:tcW w:w="3156" w:type="pct"/>
            <w:tcBorders>
              <w:top w:val="single" w:sz="4" w:space="0" w:color="auto"/>
              <w:left w:val="single" w:sz="4" w:space="0" w:color="auto"/>
              <w:bottom w:val="single" w:sz="4" w:space="0" w:color="auto"/>
              <w:right w:val="single" w:sz="4" w:space="0" w:color="auto"/>
            </w:tcBorders>
            <w:noWrap/>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Unidad administrativa:</w:t>
            </w:r>
          </w:p>
          <w:p w:rsidR="000E1E6C" w:rsidRPr="00E85841" w:rsidRDefault="000E1E6C">
            <w:pPr>
              <w:spacing w:line="247" w:lineRule="auto"/>
              <w:jc w:val="both"/>
              <w:rPr>
                <w:rFonts w:ascii="Arial" w:hAnsi="Arial" w:cs="Arial"/>
                <w:b/>
                <w:bCs/>
                <w:sz w:val="22"/>
                <w:szCs w:val="22"/>
              </w:rPr>
            </w:pPr>
            <w:r w:rsidRPr="00E85841">
              <w:rPr>
                <w:rFonts w:ascii="Arial" w:hAnsi="Arial" w:cs="Arial"/>
                <w:sz w:val="22"/>
                <w:szCs w:val="22"/>
              </w:rPr>
              <w:t>Coordinación General del Comité Estatal de Planeación para el Desarrollo de Oaxaca.</w:t>
            </w:r>
            <w:bookmarkStart w:id="0" w:name="_GoBack"/>
            <w:bookmarkEnd w:id="0"/>
          </w:p>
        </w:tc>
      </w:tr>
    </w:tbl>
    <w:p w:rsidR="000E1E6C" w:rsidRPr="00E85841" w:rsidRDefault="000E1E6C" w:rsidP="000E1E6C">
      <w:pPr>
        <w:jc w:val="center"/>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5081"/>
        <w:gridCol w:w="3747"/>
      </w:tblGrid>
      <w:tr w:rsidR="000E1E6C" w:rsidRPr="00E85841" w:rsidTr="000041B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t>DATOS DE CONTRATACIÓN DE LA EVALUACIÓN</w:t>
            </w:r>
          </w:p>
        </w:tc>
      </w:tr>
      <w:tr w:rsidR="000E1E6C" w:rsidRPr="00E85841" w:rsidTr="000041B2">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6.1 Tipo de contratación:</w:t>
            </w:r>
          </w:p>
        </w:tc>
      </w:tr>
      <w:tr w:rsidR="000E1E6C" w:rsidRPr="00E85841" w:rsidTr="000E1E6C">
        <w:trPr>
          <w:trHeight w:val="285"/>
        </w:trPr>
        <w:tc>
          <w:tcPr>
            <w:tcW w:w="2504" w:type="pct"/>
            <w:tcBorders>
              <w:top w:val="nil"/>
              <w:left w:val="single" w:sz="4" w:space="0" w:color="auto"/>
              <w:bottom w:val="nil"/>
              <w:right w:val="nil"/>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6.1.1 Adjudicación Directa ___</w:t>
            </w:r>
          </w:p>
        </w:tc>
        <w:tc>
          <w:tcPr>
            <w:tcW w:w="2496" w:type="pct"/>
            <w:tcBorders>
              <w:top w:val="nil"/>
              <w:left w:val="nil"/>
              <w:bottom w:val="nil"/>
              <w:right w:val="single" w:sz="4" w:space="0" w:color="auto"/>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6.1.2 Invitación a tres</w:t>
            </w:r>
          </w:p>
        </w:tc>
      </w:tr>
      <w:tr w:rsidR="000E1E6C" w:rsidRPr="00E85841" w:rsidTr="000E1E6C">
        <w:trPr>
          <w:trHeight w:val="285"/>
        </w:trPr>
        <w:tc>
          <w:tcPr>
            <w:tcW w:w="2504" w:type="pct"/>
            <w:tcBorders>
              <w:top w:val="nil"/>
              <w:left w:val="single" w:sz="4" w:space="0" w:color="auto"/>
              <w:bottom w:val="nil"/>
              <w:right w:val="nil"/>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6.1.3 Licitación Pública Nacional __</w:t>
            </w:r>
          </w:p>
        </w:tc>
        <w:tc>
          <w:tcPr>
            <w:tcW w:w="2496" w:type="pct"/>
            <w:tcBorders>
              <w:top w:val="nil"/>
              <w:left w:val="nil"/>
              <w:bottom w:val="nil"/>
              <w:right w:val="single" w:sz="4" w:space="0" w:color="auto"/>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6.1.4 Licitación Pública Internacional</w:t>
            </w:r>
          </w:p>
        </w:tc>
      </w:tr>
      <w:tr w:rsidR="000E1E6C" w:rsidRPr="00E85841" w:rsidTr="000E1E6C">
        <w:trPr>
          <w:trHeight w:val="285"/>
        </w:trPr>
        <w:tc>
          <w:tcPr>
            <w:tcW w:w="2504" w:type="pct"/>
            <w:tcBorders>
              <w:top w:val="nil"/>
              <w:left w:val="single" w:sz="4" w:space="0" w:color="auto"/>
              <w:bottom w:val="single" w:sz="4" w:space="0" w:color="auto"/>
              <w:right w:val="nil"/>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6.1.5 Otro: (Señalar) _X_ Invitación Abierta Estatal</w:t>
            </w:r>
          </w:p>
        </w:tc>
        <w:tc>
          <w:tcPr>
            <w:tcW w:w="2496" w:type="pct"/>
            <w:tcBorders>
              <w:top w:val="nil"/>
              <w:left w:val="nil"/>
              <w:bottom w:val="single" w:sz="4" w:space="0" w:color="auto"/>
              <w:right w:val="single" w:sz="4" w:space="0" w:color="auto"/>
            </w:tcBorders>
            <w:noWrap/>
            <w:vAlign w:val="bottom"/>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w:t>
            </w:r>
          </w:p>
        </w:tc>
      </w:tr>
      <w:tr w:rsidR="000E1E6C" w:rsidRPr="00E85841" w:rsidTr="000E1E6C">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6.2 Unidad administrativa responsable de contratar la evaluación:</w:t>
            </w:r>
          </w:p>
          <w:p w:rsidR="000E1E6C" w:rsidRPr="00E85841" w:rsidRDefault="002F66C1">
            <w:pPr>
              <w:spacing w:line="247" w:lineRule="auto"/>
              <w:jc w:val="both"/>
              <w:rPr>
                <w:rFonts w:ascii="Arial" w:hAnsi="Arial" w:cs="Arial"/>
                <w:color w:val="FF0000"/>
                <w:sz w:val="22"/>
                <w:szCs w:val="22"/>
              </w:rPr>
            </w:pPr>
            <w:r w:rsidRPr="00E85841">
              <w:rPr>
                <w:rFonts w:ascii="Arial" w:hAnsi="Arial" w:cs="Arial"/>
                <w:sz w:val="22"/>
                <w:szCs w:val="22"/>
              </w:rPr>
              <w:t>Dirección</w:t>
            </w:r>
            <w:r w:rsidR="000E1E6C" w:rsidRPr="00E85841">
              <w:rPr>
                <w:rFonts w:ascii="Arial" w:hAnsi="Arial" w:cs="Arial"/>
                <w:sz w:val="22"/>
                <w:szCs w:val="22"/>
              </w:rPr>
              <w:t xml:space="preserve"> General de la Instancia Técnica de Evaluación</w:t>
            </w:r>
          </w:p>
        </w:tc>
      </w:tr>
      <w:tr w:rsidR="000E1E6C" w:rsidRPr="00E85841" w:rsidTr="000E1E6C">
        <w:trPr>
          <w:trHeight w:val="285"/>
        </w:trPr>
        <w:tc>
          <w:tcPr>
            <w:tcW w:w="5000" w:type="pct"/>
            <w:gridSpan w:val="2"/>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6.3 Costo total de la evaluación:</w:t>
            </w:r>
          </w:p>
        </w:tc>
      </w:tr>
      <w:tr w:rsidR="000E1E6C" w:rsidRPr="00E85841" w:rsidTr="000E1E6C">
        <w:trPr>
          <w:trHeight w:val="285"/>
        </w:trPr>
        <w:tc>
          <w:tcPr>
            <w:tcW w:w="5000" w:type="pct"/>
            <w:gridSpan w:val="2"/>
            <w:tcBorders>
              <w:top w:val="nil"/>
              <w:left w:val="single" w:sz="4" w:space="0" w:color="auto"/>
              <w:bottom w:val="single" w:sz="4" w:space="0" w:color="auto"/>
              <w:right w:val="single" w:sz="4" w:space="0" w:color="000000"/>
            </w:tcBorders>
            <w:noWrap/>
            <w:vAlign w:val="center"/>
            <w:hideMark/>
          </w:tcPr>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$ 1,190,160.00 IVA incluido</w:t>
            </w:r>
            <w:r w:rsidR="002F66C1" w:rsidRPr="00E85841">
              <w:rPr>
                <w:rFonts w:ascii="Arial" w:hAnsi="Arial" w:cs="Arial"/>
                <w:sz w:val="22"/>
                <w:szCs w:val="22"/>
              </w:rPr>
              <w:t>,</w:t>
            </w:r>
            <w:r w:rsidRPr="00E85841">
              <w:rPr>
                <w:rFonts w:ascii="Arial" w:hAnsi="Arial" w:cs="Arial"/>
                <w:sz w:val="22"/>
                <w:szCs w:val="22"/>
              </w:rPr>
              <w:t xml:space="preserve"> por el total de las evalua</w:t>
            </w:r>
            <w:r w:rsidR="002F66C1" w:rsidRPr="00E85841">
              <w:rPr>
                <w:rFonts w:ascii="Arial" w:hAnsi="Arial" w:cs="Arial"/>
                <w:sz w:val="22"/>
                <w:szCs w:val="22"/>
              </w:rPr>
              <w:t>ciones incluidas en el PAE 2022</w:t>
            </w:r>
          </w:p>
        </w:tc>
      </w:tr>
      <w:tr w:rsidR="000E1E6C" w:rsidRPr="00E85841" w:rsidTr="000E1E6C">
        <w:trPr>
          <w:trHeight w:val="28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6.4 Fuente de Financiamiento:</w:t>
            </w:r>
          </w:p>
          <w:p w:rsidR="000E1E6C" w:rsidRPr="00E85841" w:rsidRDefault="000E1E6C">
            <w:pPr>
              <w:spacing w:line="247" w:lineRule="auto"/>
              <w:jc w:val="both"/>
              <w:rPr>
                <w:rFonts w:ascii="Arial" w:hAnsi="Arial" w:cs="Arial"/>
                <w:sz w:val="22"/>
                <w:szCs w:val="22"/>
              </w:rPr>
            </w:pPr>
            <w:r w:rsidRPr="00E85841">
              <w:rPr>
                <w:rFonts w:ascii="Arial" w:hAnsi="Arial" w:cs="Arial"/>
                <w:sz w:val="22"/>
                <w:szCs w:val="22"/>
              </w:rPr>
              <w:t>Recursos fiscales</w:t>
            </w:r>
          </w:p>
        </w:tc>
      </w:tr>
    </w:tbl>
    <w:p w:rsidR="000E1E6C" w:rsidRPr="00E85841" w:rsidRDefault="000E1E6C" w:rsidP="000E1E6C">
      <w:pPr>
        <w:jc w:val="center"/>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8828"/>
      </w:tblGrid>
      <w:tr w:rsidR="000E1E6C" w:rsidRPr="00E85841" w:rsidTr="000041B2">
        <w:trPr>
          <w:trHeight w:val="276"/>
        </w:trPr>
        <w:tc>
          <w:tcPr>
            <w:tcW w:w="5000" w:type="pct"/>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0E1E6C" w:rsidRPr="00E85841" w:rsidRDefault="000E1E6C">
            <w:pPr>
              <w:spacing w:line="247" w:lineRule="auto"/>
              <w:jc w:val="center"/>
              <w:rPr>
                <w:rFonts w:ascii="Arial" w:hAnsi="Arial" w:cs="Arial"/>
                <w:b/>
                <w:bCs/>
                <w:color w:val="FFFFFF" w:themeColor="background1"/>
                <w:sz w:val="22"/>
                <w:szCs w:val="22"/>
              </w:rPr>
            </w:pPr>
            <w:r w:rsidRPr="00E85841">
              <w:rPr>
                <w:rFonts w:ascii="Arial" w:hAnsi="Arial" w:cs="Arial"/>
                <w:b/>
                <w:bCs/>
                <w:color w:val="FFFFFF" w:themeColor="background1"/>
                <w:sz w:val="22"/>
                <w:szCs w:val="22"/>
              </w:rPr>
              <w:t>DIFUSIÓN DE LA EVALUACIÓN</w:t>
            </w:r>
          </w:p>
        </w:tc>
      </w:tr>
      <w:tr w:rsidR="000E1E6C" w:rsidRPr="00E85841" w:rsidTr="000041B2">
        <w:trPr>
          <w:trHeight w:val="262"/>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7.1 Difusión en internet de la evaluación:</w:t>
            </w:r>
          </w:p>
        </w:tc>
      </w:tr>
      <w:tr w:rsidR="000E1E6C" w:rsidRPr="00E85841" w:rsidTr="000E1E6C">
        <w:trPr>
          <w:trHeight w:val="262"/>
        </w:trPr>
        <w:tc>
          <w:tcPr>
            <w:tcW w:w="5000" w:type="pct"/>
            <w:tcBorders>
              <w:top w:val="nil"/>
              <w:left w:val="single" w:sz="4" w:space="0" w:color="auto"/>
              <w:bottom w:val="single" w:sz="4" w:space="0" w:color="auto"/>
              <w:right w:val="single" w:sz="4" w:space="0" w:color="000000"/>
            </w:tcBorders>
            <w:noWrap/>
            <w:vAlign w:val="bottom"/>
            <w:hideMark/>
          </w:tcPr>
          <w:p w:rsidR="002F66C1" w:rsidRPr="00E85841" w:rsidRDefault="004F5EEE" w:rsidP="002F66C1">
            <w:pPr>
              <w:spacing w:line="247" w:lineRule="auto"/>
              <w:rPr>
                <w:rFonts w:ascii="Arial" w:hAnsi="Arial" w:cs="Arial"/>
                <w:sz w:val="22"/>
                <w:szCs w:val="22"/>
              </w:rPr>
            </w:pPr>
            <w:hyperlink r:id="rId7" w:history="1">
              <w:r w:rsidR="002F66C1" w:rsidRPr="00E85841">
                <w:rPr>
                  <w:rStyle w:val="Hipervnculo"/>
                  <w:rFonts w:ascii="Arial" w:hAnsi="Arial" w:cs="Arial"/>
                  <w:sz w:val="22"/>
                  <w:szCs w:val="22"/>
                </w:rPr>
                <w:t>https://www.oaxaca.gob.mx/dgite/evaluacion-detalle/</w:t>
              </w:r>
            </w:hyperlink>
          </w:p>
          <w:p w:rsidR="000E1E6C" w:rsidRPr="00E85841" w:rsidRDefault="002F66C1" w:rsidP="002F66C1">
            <w:pPr>
              <w:spacing w:line="247" w:lineRule="auto"/>
              <w:rPr>
                <w:rFonts w:ascii="Arial" w:hAnsi="Arial" w:cs="Arial"/>
                <w:sz w:val="22"/>
                <w:szCs w:val="22"/>
              </w:rPr>
            </w:pPr>
            <w:r w:rsidRPr="00E85841">
              <w:rPr>
                <w:rFonts w:ascii="Arial" w:hAnsi="Arial" w:cs="Arial"/>
                <w:sz w:val="22"/>
                <w:szCs w:val="22"/>
              </w:rPr>
              <w:t>Ruta: Programa Anual de Evaluación y Resultados / PAE 2022 /</w:t>
            </w:r>
            <w:r w:rsidR="000E1E6C" w:rsidRPr="00E85841">
              <w:rPr>
                <w:rFonts w:ascii="Arial" w:hAnsi="Arial" w:cs="Arial"/>
                <w:sz w:val="22"/>
                <w:szCs w:val="22"/>
              </w:rPr>
              <w:t> </w:t>
            </w:r>
          </w:p>
        </w:tc>
      </w:tr>
      <w:tr w:rsidR="000E1E6C" w:rsidRPr="00E85841" w:rsidTr="000E1E6C">
        <w:trPr>
          <w:trHeight w:val="262"/>
        </w:trPr>
        <w:tc>
          <w:tcPr>
            <w:tcW w:w="5000" w:type="pct"/>
            <w:tcBorders>
              <w:top w:val="single" w:sz="4" w:space="0" w:color="auto"/>
              <w:left w:val="single" w:sz="4" w:space="0" w:color="auto"/>
              <w:bottom w:val="nil"/>
              <w:right w:val="single" w:sz="4" w:space="0" w:color="000000"/>
            </w:tcBorders>
            <w:noWrap/>
            <w:vAlign w:val="bottom"/>
            <w:hideMark/>
          </w:tcPr>
          <w:p w:rsidR="000E1E6C" w:rsidRPr="00E85841" w:rsidRDefault="000E1E6C">
            <w:pPr>
              <w:spacing w:line="247" w:lineRule="auto"/>
              <w:jc w:val="both"/>
              <w:rPr>
                <w:rFonts w:ascii="Arial" w:hAnsi="Arial" w:cs="Arial"/>
                <w:b/>
                <w:bCs/>
                <w:sz w:val="22"/>
                <w:szCs w:val="22"/>
              </w:rPr>
            </w:pPr>
            <w:r w:rsidRPr="00E85841">
              <w:rPr>
                <w:rFonts w:ascii="Arial" w:hAnsi="Arial" w:cs="Arial"/>
                <w:b/>
                <w:bCs/>
                <w:sz w:val="22"/>
                <w:szCs w:val="22"/>
              </w:rPr>
              <w:t>7.2 Difusión en internet del formato:</w:t>
            </w:r>
          </w:p>
        </w:tc>
      </w:tr>
      <w:tr w:rsidR="000E1E6C" w:rsidRPr="00E85841" w:rsidTr="000E1E6C">
        <w:trPr>
          <w:trHeight w:val="262"/>
        </w:trPr>
        <w:tc>
          <w:tcPr>
            <w:tcW w:w="5000" w:type="pct"/>
            <w:tcBorders>
              <w:top w:val="nil"/>
              <w:left w:val="single" w:sz="4" w:space="0" w:color="auto"/>
              <w:bottom w:val="single" w:sz="4" w:space="0" w:color="auto"/>
              <w:right w:val="single" w:sz="4" w:space="0" w:color="000000"/>
            </w:tcBorders>
            <w:noWrap/>
            <w:vAlign w:val="bottom"/>
            <w:hideMark/>
          </w:tcPr>
          <w:p w:rsidR="002F66C1" w:rsidRPr="00E85841" w:rsidRDefault="000E1E6C" w:rsidP="002F66C1">
            <w:pPr>
              <w:spacing w:line="247" w:lineRule="auto"/>
              <w:rPr>
                <w:rFonts w:ascii="Arial" w:hAnsi="Arial" w:cs="Arial"/>
                <w:sz w:val="22"/>
                <w:szCs w:val="22"/>
              </w:rPr>
            </w:pPr>
            <w:r w:rsidRPr="00E85841">
              <w:rPr>
                <w:rFonts w:ascii="Arial" w:hAnsi="Arial" w:cs="Arial"/>
                <w:sz w:val="22"/>
                <w:szCs w:val="22"/>
              </w:rPr>
              <w:t> </w:t>
            </w:r>
            <w:r w:rsidR="002F66C1" w:rsidRPr="00E85841">
              <w:rPr>
                <w:rFonts w:ascii="Arial" w:hAnsi="Arial" w:cs="Arial"/>
                <w:sz w:val="22"/>
                <w:szCs w:val="22"/>
              </w:rPr>
              <w:t>Difusión en internet del formato:</w:t>
            </w:r>
          </w:p>
          <w:p w:rsidR="002F66C1" w:rsidRPr="00E85841" w:rsidRDefault="004F5EEE" w:rsidP="002F66C1">
            <w:pPr>
              <w:spacing w:line="247" w:lineRule="auto"/>
              <w:rPr>
                <w:rFonts w:ascii="Arial" w:hAnsi="Arial" w:cs="Arial"/>
                <w:sz w:val="22"/>
                <w:szCs w:val="22"/>
              </w:rPr>
            </w:pPr>
            <w:hyperlink r:id="rId8" w:history="1">
              <w:r w:rsidR="002F66C1" w:rsidRPr="00E85841">
                <w:rPr>
                  <w:rStyle w:val="Hipervnculo"/>
                  <w:rFonts w:ascii="Arial" w:hAnsi="Arial" w:cs="Arial"/>
                  <w:sz w:val="22"/>
                  <w:szCs w:val="22"/>
                </w:rPr>
                <w:t>https://www.oaxaca.gob.mx/dgite/evaluacion-detalle/</w:t>
              </w:r>
            </w:hyperlink>
          </w:p>
          <w:p w:rsidR="000E1E6C" w:rsidRPr="00E85841" w:rsidRDefault="002F66C1" w:rsidP="002F66C1">
            <w:pPr>
              <w:spacing w:line="247" w:lineRule="auto"/>
              <w:rPr>
                <w:rFonts w:ascii="Arial" w:hAnsi="Arial" w:cs="Arial"/>
                <w:sz w:val="22"/>
                <w:szCs w:val="22"/>
              </w:rPr>
            </w:pPr>
            <w:r w:rsidRPr="00E85841">
              <w:rPr>
                <w:rFonts w:ascii="Arial" w:hAnsi="Arial" w:cs="Arial"/>
                <w:sz w:val="22"/>
                <w:szCs w:val="22"/>
              </w:rPr>
              <w:t>Ruta: Programa Anual de Evaluación y Resultados / PAE 2022 /</w:t>
            </w:r>
          </w:p>
        </w:tc>
      </w:tr>
    </w:tbl>
    <w:p w:rsidR="000A48F7" w:rsidRPr="00E85841" w:rsidRDefault="004F5EEE" w:rsidP="00E85841">
      <w:pPr>
        <w:rPr>
          <w:rFonts w:ascii="Arial" w:hAnsi="Arial" w:cs="Arial"/>
        </w:rPr>
      </w:pPr>
    </w:p>
    <w:sectPr w:rsidR="000A48F7" w:rsidRPr="00E858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EE" w:rsidRDefault="004F5EEE" w:rsidP="00E85841">
      <w:r>
        <w:separator/>
      </w:r>
    </w:p>
  </w:endnote>
  <w:endnote w:type="continuationSeparator" w:id="0">
    <w:p w:rsidR="004F5EEE" w:rsidRDefault="004F5EEE" w:rsidP="00E8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ia Pro Book">
    <w:panose1 w:val="000005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EE" w:rsidRDefault="004F5EEE" w:rsidP="00E85841">
      <w:r>
        <w:separator/>
      </w:r>
    </w:p>
  </w:footnote>
  <w:footnote w:type="continuationSeparator" w:id="0">
    <w:p w:rsidR="004F5EEE" w:rsidRDefault="004F5EEE" w:rsidP="00E85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02FF"/>
    <w:multiLevelType w:val="multilevel"/>
    <w:tmpl w:val="73CAA9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16D38C2"/>
    <w:multiLevelType w:val="multilevel"/>
    <w:tmpl w:val="73CAA9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57B73EE5"/>
    <w:multiLevelType w:val="multilevel"/>
    <w:tmpl w:val="5B928E1A"/>
    <w:lvl w:ilvl="0">
      <w:start w:val="1"/>
      <w:numFmt w:val="upperRoman"/>
      <w:lvlText w:val="%1."/>
      <w:lvlJc w:val="left"/>
      <w:pPr>
        <w:ind w:left="360" w:firstLine="0"/>
      </w:pPr>
    </w:lvl>
    <w:lvl w:ilvl="1">
      <w:start w:val="1"/>
      <w:numFmt w:val="upperLetter"/>
      <w:lvlText w:val="%2."/>
      <w:lvlJc w:val="left"/>
      <w:pPr>
        <w:ind w:left="1080" w:firstLine="0"/>
      </w:p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3">
    <w:nsid w:val="5FF800B5"/>
    <w:multiLevelType w:val="multilevel"/>
    <w:tmpl w:val="BAA01A4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6C"/>
    <w:rsid w:val="000041B2"/>
    <w:rsid w:val="000A1B34"/>
    <w:rsid w:val="000E1E6C"/>
    <w:rsid w:val="00241D15"/>
    <w:rsid w:val="00250A9A"/>
    <w:rsid w:val="002F66C1"/>
    <w:rsid w:val="003D1A0A"/>
    <w:rsid w:val="004F5EEE"/>
    <w:rsid w:val="00502A3C"/>
    <w:rsid w:val="006222EF"/>
    <w:rsid w:val="00692BF9"/>
    <w:rsid w:val="009A030C"/>
    <w:rsid w:val="00B43C32"/>
    <w:rsid w:val="00C21BC5"/>
    <w:rsid w:val="00CF3CC6"/>
    <w:rsid w:val="00E44272"/>
    <w:rsid w:val="00E8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A4E4-54F6-4EE4-867F-95A067A4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6C"/>
    <w:pPr>
      <w:spacing w:after="0" w:line="240" w:lineRule="auto"/>
    </w:pPr>
    <w:rPr>
      <w:rFonts w:ascii="Times New Roman" w:eastAsia="Times New Roman" w:hAnsi="Times New Roman" w:cs="Times New Roman"/>
      <w:sz w:val="24"/>
      <w:szCs w:val="24"/>
      <w:lang w:eastAsia="es-MX"/>
    </w:rPr>
  </w:style>
  <w:style w:type="paragraph" w:styleId="Ttulo1">
    <w:name w:val="heading 1"/>
    <w:next w:val="Normal"/>
    <w:link w:val="Ttulo1Car"/>
    <w:uiPriority w:val="9"/>
    <w:qFormat/>
    <w:rsid w:val="000E1E6C"/>
    <w:pPr>
      <w:keepNext/>
      <w:keepLines/>
      <w:spacing w:after="4" w:line="360" w:lineRule="auto"/>
      <w:ind w:left="360"/>
      <w:outlineLvl w:val="0"/>
    </w:pPr>
    <w:rPr>
      <w:rFonts w:ascii="Arial" w:eastAsia="Times New Roman" w:hAnsi="Arial" w:cs="Arial"/>
      <w:b/>
      <w:color w:val="000000"/>
      <w:sz w:val="28"/>
      <w:szCs w:val="20"/>
      <w:lang w:eastAsia="es-MX"/>
    </w:rPr>
  </w:style>
  <w:style w:type="paragraph" w:styleId="Ttulo2">
    <w:name w:val="heading 2"/>
    <w:basedOn w:val="Normal"/>
    <w:next w:val="Normal"/>
    <w:link w:val="Ttulo2Car"/>
    <w:autoRedefine/>
    <w:uiPriority w:val="9"/>
    <w:unhideWhenUsed/>
    <w:qFormat/>
    <w:rsid w:val="00C21BC5"/>
    <w:pPr>
      <w:keepNext/>
      <w:keepLines/>
      <w:spacing w:before="40" w:line="360" w:lineRule="auto"/>
      <w:contextualSpacing/>
      <w:jc w:val="both"/>
      <w:outlineLvl w:val="1"/>
    </w:pPr>
    <w:rPr>
      <w:rFonts w:ascii="Univia Pro Book" w:eastAsia="Univia Pro Book" w:hAnsi="Univia Pro Book" w:cstheme="majorBidi"/>
      <w:b/>
      <w:color w:val="262626" w:themeColor="text1" w:themeTint="D9"/>
    </w:rPr>
  </w:style>
  <w:style w:type="paragraph" w:styleId="Ttulo3">
    <w:name w:val="heading 3"/>
    <w:basedOn w:val="Normal"/>
    <w:next w:val="Normal"/>
    <w:link w:val="Ttulo3Car"/>
    <w:uiPriority w:val="9"/>
    <w:semiHidden/>
    <w:unhideWhenUsed/>
    <w:qFormat/>
    <w:rsid w:val="000E1E6C"/>
    <w:pPr>
      <w:keepNext/>
      <w:keepLines/>
      <w:spacing w:before="280" w:after="80"/>
      <w:ind w:left="1800"/>
      <w:outlineLvl w:val="2"/>
    </w:pPr>
    <w:rPr>
      <w:b/>
      <w:sz w:val="28"/>
      <w:szCs w:val="28"/>
    </w:rPr>
  </w:style>
  <w:style w:type="paragraph" w:styleId="Ttulo4">
    <w:name w:val="heading 4"/>
    <w:basedOn w:val="Normal"/>
    <w:next w:val="Normal"/>
    <w:link w:val="Ttulo4Car"/>
    <w:uiPriority w:val="9"/>
    <w:semiHidden/>
    <w:unhideWhenUsed/>
    <w:qFormat/>
    <w:rsid w:val="000E1E6C"/>
    <w:pPr>
      <w:keepNext/>
      <w:keepLines/>
      <w:spacing w:before="240" w:after="40"/>
      <w:ind w:left="2520"/>
      <w:outlineLvl w:val="3"/>
    </w:pPr>
    <w:rPr>
      <w:b/>
    </w:rPr>
  </w:style>
  <w:style w:type="paragraph" w:styleId="Ttulo5">
    <w:name w:val="heading 5"/>
    <w:basedOn w:val="Normal"/>
    <w:next w:val="Normal"/>
    <w:link w:val="Ttulo5Car"/>
    <w:uiPriority w:val="9"/>
    <w:semiHidden/>
    <w:unhideWhenUsed/>
    <w:qFormat/>
    <w:rsid w:val="000E1E6C"/>
    <w:pPr>
      <w:keepNext/>
      <w:keepLines/>
      <w:spacing w:before="220" w:after="40"/>
      <w:ind w:left="3240"/>
      <w:outlineLvl w:val="4"/>
    </w:pPr>
    <w:rPr>
      <w:b/>
      <w:sz w:val="22"/>
      <w:szCs w:val="22"/>
    </w:rPr>
  </w:style>
  <w:style w:type="paragraph" w:styleId="Ttulo6">
    <w:name w:val="heading 6"/>
    <w:basedOn w:val="Normal"/>
    <w:next w:val="Normal"/>
    <w:link w:val="Ttulo6Car"/>
    <w:uiPriority w:val="9"/>
    <w:semiHidden/>
    <w:unhideWhenUsed/>
    <w:qFormat/>
    <w:rsid w:val="000E1E6C"/>
    <w:pPr>
      <w:keepNext/>
      <w:keepLines/>
      <w:spacing w:before="200" w:after="40"/>
      <w:ind w:left="3960"/>
      <w:outlineLvl w:val="5"/>
    </w:pPr>
    <w:rPr>
      <w:b/>
      <w:sz w:val="20"/>
      <w:szCs w:val="20"/>
    </w:rPr>
  </w:style>
  <w:style w:type="paragraph" w:styleId="Ttulo7">
    <w:name w:val="heading 7"/>
    <w:basedOn w:val="Normal"/>
    <w:next w:val="Normal"/>
    <w:link w:val="Ttulo7Car"/>
    <w:uiPriority w:val="9"/>
    <w:semiHidden/>
    <w:unhideWhenUsed/>
    <w:qFormat/>
    <w:rsid w:val="000E1E6C"/>
    <w:pPr>
      <w:keepNext/>
      <w:keepLines/>
      <w:spacing w:before="40"/>
      <w:ind w:left="468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E1E6C"/>
    <w:pPr>
      <w:keepNext/>
      <w:keepLines/>
      <w:spacing w:before="40"/>
      <w:ind w:left="540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E1E6C"/>
    <w:pPr>
      <w:keepNext/>
      <w:keepLines/>
      <w:spacing w:before="40"/>
      <w:ind w:left="612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1BC5"/>
    <w:rPr>
      <w:rFonts w:ascii="Univia Pro Book" w:eastAsia="Univia Pro Book" w:hAnsi="Univia Pro Book" w:cstheme="majorBidi"/>
      <w:b/>
      <w:color w:val="262626" w:themeColor="text1" w:themeTint="D9"/>
      <w:sz w:val="24"/>
    </w:rPr>
  </w:style>
  <w:style w:type="character" w:customStyle="1" w:styleId="Ttulo1Car">
    <w:name w:val="Título 1 Car"/>
    <w:basedOn w:val="Fuentedeprrafopredeter"/>
    <w:link w:val="Ttulo1"/>
    <w:uiPriority w:val="9"/>
    <w:rsid w:val="000E1E6C"/>
    <w:rPr>
      <w:rFonts w:ascii="Arial" w:eastAsia="Times New Roman" w:hAnsi="Arial" w:cs="Arial"/>
      <w:b/>
      <w:color w:val="000000"/>
      <w:sz w:val="28"/>
      <w:szCs w:val="20"/>
      <w:lang w:eastAsia="es-MX"/>
    </w:rPr>
  </w:style>
  <w:style w:type="character" w:customStyle="1" w:styleId="Ttulo3Car">
    <w:name w:val="Título 3 Car"/>
    <w:basedOn w:val="Fuentedeprrafopredeter"/>
    <w:link w:val="Ttulo3"/>
    <w:uiPriority w:val="9"/>
    <w:semiHidden/>
    <w:rsid w:val="000E1E6C"/>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0E1E6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semiHidden/>
    <w:rsid w:val="000E1E6C"/>
    <w:rPr>
      <w:rFonts w:ascii="Times New Roman" w:eastAsia="Times New Roman" w:hAnsi="Times New Roman" w:cs="Times New Roman"/>
      <w:b/>
      <w:lang w:eastAsia="es-MX"/>
    </w:rPr>
  </w:style>
  <w:style w:type="character" w:customStyle="1" w:styleId="Ttulo6Car">
    <w:name w:val="Título 6 Car"/>
    <w:basedOn w:val="Fuentedeprrafopredeter"/>
    <w:link w:val="Ttulo6"/>
    <w:uiPriority w:val="9"/>
    <w:semiHidden/>
    <w:rsid w:val="000E1E6C"/>
    <w:rPr>
      <w:rFonts w:ascii="Times New Roman" w:eastAsia="Times New Roman" w:hAnsi="Times New Roman" w:cs="Times New Roman"/>
      <w:b/>
      <w:sz w:val="20"/>
      <w:szCs w:val="20"/>
      <w:lang w:eastAsia="es-MX"/>
    </w:rPr>
  </w:style>
  <w:style w:type="character" w:customStyle="1" w:styleId="Ttulo7Car">
    <w:name w:val="Título 7 Car"/>
    <w:basedOn w:val="Fuentedeprrafopredeter"/>
    <w:link w:val="Ttulo7"/>
    <w:uiPriority w:val="9"/>
    <w:semiHidden/>
    <w:rsid w:val="000E1E6C"/>
    <w:rPr>
      <w:rFonts w:asciiTheme="majorHAnsi" w:eastAsiaTheme="majorEastAsia" w:hAnsiTheme="majorHAnsi" w:cstheme="majorBidi"/>
      <w:i/>
      <w:iCs/>
      <w:color w:val="1F4D78" w:themeColor="accent1" w:themeShade="7F"/>
      <w:sz w:val="24"/>
      <w:szCs w:val="24"/>
      <w:lang w:eastAsia="es-MX"/>
    </w:rPr>
  </w:style>
  <w:style w:type="character" w:customStyle="1" w:styleId="Ttulo8Car">
    <w:name w:val="Título 8 Car"/>
    <w:basedOn w:val="Fuentedeprrafopredeter"/>
    <w:link w:val="Ttulo8"/>
    <w:uiPriority w:val="9"/>
    <w:semiHidden/>
    <w:rsid w:val="000E1E6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0E1E6C"/>
    <w:rPr>
      <w:rFonts w:asciiTheme="majorHAnsi" w:eastAsiaTheme="majorEastAsia" w:hAnsiTheme="majorHAnsi" w:cstheme="majorBidi"/>
      <w:i/>
      <w:iCs/>
      <w:color w:val="272727" w:themeColor="text1" w:themeTint="D8"/>
      <w:sz w:val="21"/>
      <w:szCs w:val="21"/>
      <w:lang w:eastAsia="es-MX"/>
    </w:rPr>
  </w:style>
  <w:style w:type="paragraph" w:styleId="Prrafodelista">
    <w:name w:val="List Paragraph"/>
    <w:basedOn w:val="Normal"/>
    <w:uiPriority w:val="34"/>
    <w:qFormat/>
    <w:rsid w:val="000E1E6C"/>
    <w:pPr>
      <w:ind w:left="720"/>
      <w:contextualSpacing/>
    </w:pPr>
  </w:style>
  <w:style w:type="character" w:styleId="Hipervnculo">
    <w:name w:val="Hyperlink"/>
    <w:basedOn w:val="Fuentedeprrafopredeter"/>
    <w:uiPriority w:val="99"/>
    <w:unhideWhenUsed/>
    <w:rsid w:val="002F66C1"/>
    <w:rPr>
      <w:color w:val="0563C1" w:themeColor="hyperlink"/>
      <w:u w:val="single"/>
    </w:rPr>
  </w:style>
  <w:style w:type="paragraph" w:styleId="Encabezado">
    <w:name w:val="header"/>
    <w:basedOn w:val="Normal"/>
    <w:link w:val="EncabezadoCar"/>
    <w:uiPriority w:val="99"/>
    <w:unhideWhenUsed/>
    <w:rsid w:val="00E85841"/>
    <w:pPr>
      <w:tabs>
        <w:tab w:val="center" w:pos="4419"/>
        <w:tab w:val="right" w:pos="8838"/>
      </w:tabs>
    </w:pPr>
  </w:style>
  <w:style w:type="character" w:customStyle="1" w:styleId="EncabezadoCar">
    <w:name w:val="Encabezado Car"/>
    <w:basedOn w:val="Fuentedeprrafopredeter"/>
    <w:link w:val="Encabezado"/>
    <w:uiPriority w:val="99"/>
    <w:rsid w:val="00E8584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85841"/>
    <w:pPr>
      <w:tabs>
        <w:tab w:val="center" w:pos="4419"/>
        <w:tab w:val="right" w:pos="8838"/>
      </w:tabs>
    </w:pPr>
  </w:style>
  <w:style w:type="character" w:customStyle="1" w:styleId="PiedepginaCar">
    <w:name w:val="Pie de página Car"/>
    <w:basedOn w:val="Fuentedeprrafopredeter"/>
    <w:link w:val="Piedepgina"/>
    <w:uiPriority w:val="99"/>
    <w:rsid w:val="00E8584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xaca.gob.mx/dgite/evaluacion-detalle/" TargetMode="External"/><Relationship Id="rId3" Type="http://schemas.openxmlformats.org/officeDocument/2006/relationships/settings" Target="settings.xml"/><Relationship Id="rId7" Type="http://schemas.openxmlformats.org/officeDocument/2006/relationships/hyperlink" Target="https://www.oaxaca.gob.mx/dgite/evaluacion-deta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2153</Words>
  <Characters>11847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3</cp:revision>
  <dcterms:created xsi:type="dcterms:W3CDTF">2022-11-30T19:54:00Z</dcterms:created>
  <dcterms:modified xsi:type="dcterms:W3CDTF">2022-11-30T19:56:00Z</dcterms:modified>
</cp:coreProperties>
</file>